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DC53F" w14:textId="77777777" w:rsidR="00822F07" w:rsidRDefault="00000000">
      <w:pPr>
        <w:spacing w:before="45" w:after="70" w:line="250" w:lineRule="auto"/>
        <w:jc w:val="center"/>
      </w:pPr>
      <w:r>
        <w:rPr>
          <w:rFonts w:cs="FrankRuehl" w:hint="cs"/>
          <w:szCs w:val="32"/>
          <w:rtl/>
        </w:rPr>
        <w:t>תקנות הגנת הצרכן (ביטול עסקה), תשע"א-2010</w:t>
      </w:r>
    </w:p>
    <w:p w14:paraId="15A4CEB1" w14:textId="77777777" w:rsidR="00822F07" w:rsidRDefault="00000000">
      <w:pPr>
        <w:spacing w:before="45" w:after="70" w:line="250" w:lineRule="auto"/>
        <w:jc w:val="center"/>
      </w:pPr>
      <w:r>
        <w:rPr>
          <w:rFonts w:cs="FrankRuehl" w:hint="cs"/>
          <w:szCs w:val="32"/>
          <w:rtl/>
        </w:rPr>
        <w:t>תוכן ענינים</w:t>
      </w:r>
    </w:p>
    <w:tbl>
      <w:tblPr>
        <w:tblW w:w="5000" w:type="pct"/>
        <w:tblInd w:w="10" w:type="dxa"/>
        <w:tblCellMar>
          <w:left w:w="10" w:type="dxa"/>
          <w:right w:w="10" w:type="dxa"/>
        </w:tblCellMar>
        <w:tblLook w:val="04A0" w:firstRow="1" w:lastRow="0" w:firstColumn="1" w:lastColumn="0" w:noHBand="0" w:noVBand="1"/>
      </w:tblPr>
      <w:tblGrid>
        <w:gridCol w:w="508"/>
        <w:gridCol w:w="6609"/>
        <w:gridCol w:w="1356"/>
      </w:tblGrid>
      <w:tr w:rsidR="00822F07" w14:paraId="63440537" w14:textId="77777777">
        <w:tblPrEx>
          <w:tblCellMar>
            <w:top w:w="0" w:type="dxa"/>
            <w:bottom w:w="0" w:type="dxa"/>
          </w:tblCellMar>
        </w:tblPrEx>
        <w:tc>
          <w:tcPr>
            <w:tcW w:w="300" w:type="pct"/>
          </w:tcPr>
          <w:p w14:paraId="6E9A16BE" w14:textId="77777777" w:rsidR="00822F07" w:rsidRDefault="00000000">
            <w:pPr>
              <w:spacing w:before="45" w:after="5" w:line="250" w:lineRule="auto"/>
              <w:rPr>
                <w:rFonts w:cs="Times New Roman"/>
                <w:szCs w:val="24"/>
                <w:rtl/>
              </w:rPr>
            </w:pPr>
            <w:hyperlink w:anchor="h1">
              <w:r>
                <w:rPr>
                  <w:rFonts w:cs="Times New Roman" w:hint="cs"/>
                  <w:color w:val="0000FE"/>
                  <w:szCs w:val="24"/>
                  <w:u w:val="single"/>
                  <w:rtl/>
                </w:rPr>
                <w:t>Go</w:t>
              </w:r>
            </w:hyperlink>
          </w:p>
        </w:tc>
        <w:tc>
          <w:tcPr>
            <w:tcW w:w="0" w:type="auto"/>
          </w:tcPr>
          <w:p w14:paraId="28676AF0" w14:textId="77777777" w:rsidR="00822F07" w:rsidRDefault="00000000">
            <w:pPr>
              <w:spacing w:before="45" w:after="5" w:line="250" w:lineRule="auto"/>
            </w:pPr>
            <w:r>
              <w:rPr>
                <w:rFonts w:cs="Times New Roman" w:hint="cs"/>
                <w:szCs w:val="24"/>
                <w:rtl/>
              </w:rPr>
              <w:t>הגדרות</w:t>
            </w:r>
          </w:p>
        </w:tc>
        <w:tc>
          <w:tcPr>
            <w:tcW w:w="800" w:type="pct"/>
          </w:tcPr>
          <w:p w14:paraId="227E5307" w14:textId="77777777" w:rsidR="00822F07" w:rsidRDefault="00000000">
            <w:pPr>
              <w:spacing w:before="45" w:after="5" w:line="250" w:lineRule="auto"/>
            </w:pPr>
            <w:r>
              <w:rPr>
                <w:rFonts w:cs="Times New Roman" w:hint="cs"/>
                <w:szCs w:val="24"/>
                <w:rtl/>
              </w:rPr>
              <w:t>סעיף 1</w:t>
            </w:r>
          </w:p>
        </w:tc>
      </w:tr>
      <w:tr w:rsidR="00822F07" w14:paraId="4709F68F" w14:textId="77777777">
        <w:tblPrEx>
          <w:tblCellMar>
            <w:top w:w="0" w:type="dxa"/>
            <w:bottom w:w="0" w:type="dxa"/>
          </w:tblCellMar>
        </w:tblPrEx>
        <w:tc>
          <w:tcPr>
            <w:tcW w:w="300" w:type="pct"/>
          </w:tcPr>
          <w:p w14:paraId="4388E85F" w14:textId="77777777" w:rsidR="00822F07" w:rsidRDefault="00000000">
            <w:pPr>
              <w:spacing w:before="45" w:after="5" w:line="250" w:lineRule="auto"/>
            </w:pPr>
            <w:hyperlink w:anchor="h2">
              <w:r>
                <w:rPr>
                  <w:rFonts w:cs="Times New Roman" w:hint="cs"/>
                  <w:color w:val="0000FE"/>
                  <w:szCs w:val="24"/>
                  <w:u w:val="single"/>
                  <w:rtl/>
                </w:rPr>
                <w:t>Go</w:t>
              </w:r>
            </w:hyperlink>
          </w:p>
        </w:tc>
        <w:tc>
          <w:tcPr>
            <w:tcW w:w="0" w:type="auto"/>
          </w:tcPr>
          <w:p w14:paraId="764752BC" w14:textId="77777777" w:rsidR="00822F07" w:rsidRDefault="00000000">
            <w:pPr>
              <w:spacing w:before="45" w:after="5" w:line="250" w:lineRule="auto"/>
            </w:pPr>
            <w:r>
              <w:rPr>
                <w:rFonts w:cs="Times New Roman" w:hint="cs"/>
                <w:szCs w:val="24"/>
                <w:rtl/>
              </w:rPr>
              <w:t>ביטול עסקה</w:t>
            </w:r>
          </w:p>
        </w:tc>
        <w:tc>
          <w:tcPr>
            <w:tcW w:w="800" w:type="pct"/>
          </w:tcPr>
          <w:p w14:paraId="293DE86A" w14:textId="77777777" w:rsidR="00822F07" w:rsidRDefault="00000000">
            <w:pPr>
              <w:spacing w:before="45" w:after="5" w:line="250" w:lineRule="auto"/>
            </w:pPr>
            <w:r>
              <w:rPr>
                <w:rFonts w:cs="Times New Roman" w:hint="cs"/>
                <w:szCs w:val="24"/>
                <w:rtl/>
              </w:rPr>
              <w:t>סעיף 2</w:t>
            </w:r>
          </w:p>
        </w:tc>
      </w:tr>
      <w:tr w:rsidR="00822F07" w14:paraId="7346DE76" w14:textId="77777777">
        <w:tblPrEx>
          <w:tblCellMar>
            <w:top w:w="0" w:type="dxa"/>
            <w:bottom w:w="0" w:type="dxa"/>
          </w:tblCellMar>
        </w:tblPrEx>
        <w:tc>
          <w:tcPr>
            <w:tcW w:w="300" w:type="pct"/>
          </w:tcPr>
          <w:p w14:paraId="6444B3CC" w14:textId="77777777" w:rsidR="00822F07" w:rsidRDefault="00000000">
            <w:pPr>
              <w:spacing w:before="45" w:after="5" w:line="250" w:lineRule="auto"/>
            </w:pPr>
            <w:hyperlink w:anchor="h3">
              <w:r>
                <w:rPr>
                  <w:rFonts w:cs="Times New Roman" w:hint="cs"/>
                  <w:color w:val="0000FE"/>
                  <w:szCs w:val="24"/>
                  <w:u w:val="single"/>
                  <w:rtl/>
                </w:rPr>
                <w:t>Go</w:t>
              </w:r>
            </w:hyperlink>
          </w:p>
        </w:tc>
        <w:tc>
          <w:tcPr>
            <w:tcW w:w="0" w:type="auto"/>
          </w:tcPr>
          <w:p w14:paraId="3AB28FDF" w14:textId="77777777" w:rsidR="00822F07" w:rsidRDefault="00000000">
            <w:pPr>
              <w:spacing w:before="45" w:after="5" w:line="250" w:lineRule="auto"/>
            </w:pPr>
            <w:r>
              <w:rPr>
                <w:rFonts w:cs="Times New Roman" w:hint="cs"/>
                <w:szCs w:val="24"/>
                <w:rtl/>
              </w:rPr>
              <w:t>החזרת התמורה</w:t>
            </w:r>
          </w:p>
        </w:tc>
        <w:tc>
          <w:tcPr>
            <w:tcW w:w="800" w:type="pct"/>
          </w:tcPr>
          <w:p w14:paraId="6F463407" w14:textId="77777777" w:rsidR="00822F07" w:rsidRDefault="00000000">
            <w:pPr>
              <w:spacing w:before="45" w:after="5" w:line="250" w:lineRule="auto"/>
            </w:pPr>
            <w:r>
              <w:rPr>
                <w:rFonts w:cs="Times New Roman" w:hint="cs"/>
                <w:szCs w:val="24"/>
                <w:rtl/>
              </w:rPr>
              <w:t>סעיף 3</w:t>
            </w:r>
          </w:p>
        </w:tc>
      </w:tr>
      <w:tr w:rsidR="00822F07" w14:paraId="47C1333B" w14:textId="77777777">
        <w:tblPrEx>
          <w:tblCellMar>
            <w:top w:w="0" w:type="dxa"/>
            <w:bottom w:w="0" w:type="dxa"/>
          </w:tblCellMar>
        </w:tblPrEx>
        <w:tc>
          <w:tcPr>
            <w:tcW w:w="300" w:type="pct"/>
          </w:tcPr>
          <w:p w14:paraId="00D140B1" w14:textId="77777777" w:rsidR="00822F07" w:rsidRDefault="00000000">
            <w:pPr>
              <w:spacing w:before="45" w:after="5" w:line="250" w:lineRule="auto"/>
            </w:pPr>
            <w:hyperlink w:anchor="h4">
              <w:r>
                <w:rPr>
                  <w:rFonts w:cs="Times New Roman" w:hint="cs"/>
                  <w:color w:val="0000FE"/>
                  <w:szCs w:val="24"/>
                  <w:u w:val="single"/>
                  <w:rtl/>
                </w:rPr>
                <w:t>Go</w:t>
              </w:r>
            </w:hyperlink>
          </w:p>
        </w:tc>
        <w:tc>
          <w:tcPr>
            <w:tcW w:w="0" w:type="auto"/>
          </w:tcPr>
          <w:p w14:paraId="76AB8876" w14:textId="77777777" w:rsidR="00822F07" w:rsidRDefault="00000000">
            <w:pPr>
              <w:spacing w:before="45" w:after="5" w:line="250" w:lineRule="auto"/>
            </w:pPr>
            <w:r>
              <w:rPr>
                <w:rFonts w:cs="Times New Roman" w:hint="cs"/>
                <w:szCs w:val="24"/>
                <w:rtl/>
              </w:rPr>
              <w:t>אופן החזרת התמורה</w:t>
            </w:r>
          </w:p>
        </w:tc>
        <w:tc>
          <w:tcPr>
            <w:tcW w:w="800" w:type="pct"/>
          </w:tcPr>
          <w:p w14:paraId="2D9EFF9F" w14:textId="77777777" w:rsidR="00822F07" w:rsidRDefault="00000000">
            <w:pPr>
              <w:spacing w:before="45" w:after="5" w:line="250" w:lineRule="auto"/>
            </w:pPr>
            <w:r>
              <w:rPr>
                <w:rFonts w:cs="Times New Roman" w:hint="cs"/>
                <w:szCs w:val="24"/>
                <w:rtl/>
              </w:rPr>
              <w:t>סעיף 4</w:t>
            </w:r>
          </w:p>
        </w:tc>
      </w:tr>
      <w:tr w:rsidR="00822F07" w14:paraId="268B49C8" w14:textId="77777777">
        <w:tblPrEx>
          <w:tblCellMar>
            <w:top w:w="0" w:type="dxa"/>
            <w:bottom w:w="0" w:type="dxa"/>
          </w:tblCellMar>
        </w:tblPrEx>
        <w:tc>
          <w:tcPr>
            <w:tcW w:w="300" w:type="pct"/>
          </w:tcPr>
          <w:p w14:paraId="59D72850" w14:textId="77777777" w:rsidR="00822F07" w:rsidRDefault="00000000">
            <w:pPr>
              <w:spacing w:before="45" w:after="5" w:line="250" w:lineRule="auto"/>
            </w:pPr>
            <w:hyperlink w:anchor="h5">
              <w:r>
                <w:rPr>
                  <w:rFonts w:cs="Times New Roman" w:hint="cs"/>
                  <w:color w:val="0000FE"/>
                  <w:szCs w:val="24"/>
                  <w:u w:val="single"/>
                  <w:rtl/>
                </w:rPr>
                <w:t>Go</w:t>
              </w:r>
            </w:hyperlink>
          </w:p>
        </w:tc>
        <w:tc>
          <w:tcPr>
            <w:tcW w:w="0" w:type="auto"/>
          </w:tcPr>
          <w:p w14:paraId="2E3262A6" w14:textId="77777777" w:rsidR="00822F07" w:rsidRDefault="00000000">
            <w:pPr>
              <w:spacing w:before="45" w:after="5" w:line="250" w:lineRule="auto"/>
            </w:pPr>
            <w:r>
              <w:rPr>
                <w:rFonts w:cs="Times New Roman" w:hint="cs"/>
                <w:szCs w:val="24"/>
                <w:rtl/>
              </w:rPr>
              <w:t>דמי ביטול</w:t>
            </w:r>
          </w:p>
        </w:tc>
        <w:tc>
          <w:tcPr>
            <w:tcW w:w="800" w:type="pct"/>
          </w:tcPr>
          <w:p w14:paraId="5DFF4F1F" w14:textId="77777777" w:rsidR="00822F07" w:rsidRDefault="00000000">
            <w:pPr>
              <w:spacing w:before="45" w:after="5" w:line="250" w:lineRule="auto"/>
            </w:pPr>
            <w:r>
              <w:rPr>
                <w:rFonts w:cs="Times New Roman" w:hint="cs"/>
                <w:szCs w:val="24"/>
                <w:rtl/>
              </w:rPr>
              <w:t>סעיף 5</w:t>
            </w:r>
          </w:p>
        </w:tc>
      </w:tr>
      <w:tr w:rsidR="00822F07" w14:paraId="07EA8488" w14:textId="77777777">
        <w:tblPrEx>
          <w:tblCellMar>
            <w:top w:w="0" w:type="dxa"/>
            <w:bottom w:w="0" w:type="dxa"/>
          </w:tblCellMar>
        </w:tblPrEx>
        <w:tc>
          <w:tcPr>
            <w:tcW w:w="300" w:type="pct"/>
          </w:tcPr>
          <w:p w14:paraId="489A3840" w14:textId="77777777" w:rsidR="00822F07" w:rsidRDefault="00000000">
            <w:pPr>
              <w:spacing w:before="45" w:after="5" w:line="250" w:lineRule="auto"/>
            </w:pPr>
            <w:hyperlink w:anchor="h6">
              <w:r>
                <w:rPr>
                  <w:rFonts w:cs="Times New Roman" w:hint="cs"/>
                  <w:color w:val="0000FE"/>
                  <w:szCs w:val="24"/>
                  <w:u w:val="single"/>
                  <w:rtl/>
                </w:rPr>
                <w:t>Go</w:t>
              </w:r>
            </w:hyperlink>
          </w:p>
        </w:tc>
        <w:tc>
          <w:tcPr>
            <w:tcW w:w="0" w:type="auto"/>
          </w:tcPr>
          <w:p w14:paraId="5F6CCABC" w14:textId="77777777" w:rsidR="00822F07" w:rsidRDefault="00000000">
            <w:pPr>
              <w:spacing w:before="45" w:after="5" w:line="250" w:lineRule="auto"/>
            </w:pPr>
            <w:r>
              <w:rPr>
                <w:rFonts w:cs="Times New Roman" w:hint="cs"/>
                <w:szCs w:val="24"/>
                <w:rtl/>
              </w:rPr>
              <w:t>הגבלת זכות הביטול</w:t>
            </w:r>
          </w:p>
        </w:tc>
        <w:tc>
          <w:tcPr>
            <w:tcW w:w="800" w:type="pct"/>
          </w:tcPr>
          <w:p w14:paraId="6BAA862E" w14:textId="77777777" w:rsidR="00822F07" w:rsidRDefault="00000000">
            <w:pPr>
              <w:spacing w:before="45" w:after="5" w:line="250" w:lineRule="auto"/>
            </w:pPr>
            <w:r>
              <w:rPr>
                <w:rFonts w:cs="Times New Roman" w:hint="cs"/>
                <w:szCs w:val="24"/>
                <w:rtl/>
              </w:rPr>
              <w:t>סעיף 6</w:t>
            </w:r>
          </w:p>
        </w:tc>
      </w:tr>
      <w:tr w:rsidR="00822F07" w14:paraId="44DD2F18" w14:textId="77777777">
        <w:tblPrEx>
          <w:tblCellMar>
            <w:top w:w="0" w:type="dxa"/>
            <w:bottom w:w="0" w:type="dxa"/>
          </w:tblCellMar>
        </w:tblPrEx>
        <w:tc>
          <w:tcPr>
            <w:tcW w:w="300" w:type="pct"/>
          </w:tcPr>
          <w:p w14:paraId="4AEB0596" w14:textId="77777777" w:rsidR="00822F07" w:rsidRDefault="00000000">
            <w:pPr>
              <w:spacing w:before="45" w:after="5" w:line="250" w:lineRule="auto"/>
            </w:pPr>
            <w:hyperlink w:anchor="h7">
              <w:r>
                <w:rPr>
                  <w:rFonts w:cs="Times New Roman" w:hint="cs"/>
                  <w:color w:val="0000FE"/>
                  <w:szCs w:val="24"/>
                  <w:u w:val="single"/>
                  <w:rtl/>
                </w:rPr>
                <w:t>Go</w:t>
              </w:r>
            </w:hyperlink>
          </w:p>
        </w:tc>
        <w:tc>
          <w:tcPr>
            <w:tcW w:w="0" w:type="auto"/>
          </w:tcPr>
          <w:p w14:paraId="35421D77" w14:textId="77777777" w:rsidR="00822F07" w:rsidRDefault="00000000">
            <w:pPr>
              <w:spacing w:before="45" w:after="5" w:line="250" w:lineRule="auto"/>
            </w:pPr>
            <w:r>
              <w:rPr>
                <w:rFonts w:cs="Times New Roman" w:hint="cs"/>
                <w:szCs w:val="24"/>
                <w:rtl/>
              </w:rPr>
              <w:t>תחילה</w:t>
            </w:r>
          </w:p>
        </w:tc>
        <w:tc>
          <w:tcPr>
            <w:tcW w:w="800" w:type="pct"/>
          </w:tcPr>
          <w:p w14:paraId="44712D21" w14:textId="77777777" w:rsidR="00822F07" w:rsidRDefault="00000000">
            <w:pPr>
              <w:spacing w:before="45" w:after="5" w:line="250" w:lineRule="auto"/>
            </w:pPr>
            <w:r>
              <w:rPr>
                <w:rFonts w:cs="Times New Roman" w:hint="cs"/>
                <w:szCs w:val="24"/>
                <w:rtl/>
              </w:rPr>
              <w:t>סעיף 7</w:t>
            </w:r>
          </w:p>
        </w:tc>
      </w:tr>
      <w:tr w:rsidR="00822F07" w14:paraId="4349AD12" w14:textId="77777777">
        <w:tblPrEx>
          <w:tblCellMar>
            <w:top w:w="0" w:type="dxa"/>
            <w:bottom w:w="0" w:type="dxa"/>
          </w:tblCellMar>
        </w:tblPrEx>
        <w:tc>
          <w:tcPr>
            <w:tcW w:w="300" w:type="pct"/>
          </w:tcPr>
          <w:p w14:paraId="746478F8" w14:textId="77777777" w:rsidR="00822F07" w:rsidRDefault="00000000">
            <w:pPr>
              <w:spacing w:before="45" w:after="5" w:line="250" w:lineRule="auto"/>
            </w:pPr>
            <w:hyperlink w:anchor="h8">
              <w:r>
                <w:rPr>
                  <w:rFonts w:cs="Times New Roman" w:hint="cs"/>
                  <w:color w:val="0000FE"/>
                  <w:szCs w:val="24"/>
                  <w:u w:val="single"/>
                  <w:rtl/>
                </w:rPr>
                <w:t>Go</w:t>
              </w:r>
            </w:hyperlink>
          </w:p>
        </w:tc>
        <w:tc>
          <w:tcPr>
            <w:tcW w:w="0" w:type="auto"/>
          </w:tcPr>
          <w:p w14:paraId="4D81A659" w14:textId="77777777" w:rsidR="00822F07" w:rsidRDefault="00000000">
            <w:pPr>
              <w:spacing w:before="45" w:after="5" w:line="250" w:lineRule="auto"/>
            </w:pPr>
            <w:r>
              <w:rPr>
                <w:rFonts w:cs="Times New Roman" w:hint="cs"/>
                <w:szCs w:val="24"/>
                <w:rtl/>
              </w:rPr>
              <w:t>תחולה</w:t>
            </w:r>
          </w:p>
        </w:tc>
        <w:tc>
          <w:tcPr>
            <w:tcW w:w="800" w:type="pct"/>
          </w:tcPr>
          <w:p w14:paraId="01D77FAC" w14:textId="77777777" w:rsidR="00822F07" w:rsidRDefault="00000000">
            <w:pPr>
              <w:spacing w:before="45" w:after="5" w:line="250" w:lineRule="auto"/>
            </w:pPr>
            <w:r>
              <w:rPr>
                <w:rFonts w:cs="Times New Roman" w:hint="cs"/>
                <w:szCs w:val="24"/>
                <w:rtl/>
              </w:rPr>
              <w:t>סעיף 8</w:t>
            </w:r>
          </w:p>
        </w:tc>
      </w:tr>
      <w:tr w:rsidR="00822F07" w14:paraId="26DD2A2D" w14:textId="77777777">
        <w:tblPrEx>
          <w:tblCellMar>
            <w:top w:w="0" w:type="dxa"/>
            <w:bottom w:w="0" w:type="dxa"/>
          </w:tblCellMar>
        </w:tblPrEx>
        <w:tc>
          <w:tcPr>
            <w:tcW w:w="300" w:type="pct"/>
          </w:tcPr>
          <w:p w14:paraId="7C815F3C" w14:textId="77777777" w:rsidR="00822F07" w:rsidRDefault="00000000">
            <w:pPr>
              <w:spacing w:before="45" w:after="5" w:line="250" w:lineRule="auto"/>
            </w:pPr>
            <w:hyperlink w:anchor="h9">
              <w:r>
                <w:rPr>
                  <w:rFonts w:cs="Times New Roman" w:hint="cs"/>
                  <w:color w:val="0000FE"/>
                  <w:szCs w:val="24"/>
                  <w:u w:val="single"/>
                  <w:rtl/>
                </w:rPr>
                <w:t>Go</w:t>
              </w:r>
            </w:hyperlink>
          </w:p>
        </w:tc>
        <w:tc>
          <w:tcPr>
            <w:tcW w:w="0" w:type="auto"/>
          </w:tcPr>
          <w:p w14:paraId="0A2F6D85" w14:textId="77777777" w:rsidR="00822F07" w:rsidRDefault="00000000">
            <w:pPr>
              <w:spacing w:before="45" w:after="5" w:line="250" w:lineRule="auto"/>
            </w:pPr>
            <w:r>
              <w:rPr>
                <w:rFonts w:cs="Times New Roman" w:hint="cs"/>
                <w:szCs w:val="24"/>
                <w:rtl/>
              </w:rPr>
              <w:t>הוראת שעה</w:t>
            </w:r>
          </w:p>
        </w:tc>
        <w:tc>
          <w:tcPr>
            <w:tcW w:w="800" w:type="pct"/>
          </w:tcPr>
          <w:p w14:paraId="5889505F" w14:textId="77777777" w:rsidR="00822F07" w:rsidRDefault="00000000">
            <w:pPr>
              <w:spacing w:before="45" w:after="5" w:line="250" w:lineRule="auto"/>
            </w:pPr>
            <w:r>
              <w:rPr>
                <w:rFonts w:cs="Times New Roman" w:hint="cs"/>
                <w:szCs w:val="24"/>
                <w:rtl/>
              </w:rPr>
              <w:t>סעיף 9</w:t>
            </w:r>
          </w:p>
        </w:tc>
      </w:tr>
      <w:tr w:rsidR="00822F07" w14:paraId="5AD745B3" w14:textId="77777777">
        <w:tblPrEx>
          <w:tblCellMar>
            <w:top w:w="0" w:type="dxa"/>
            <w:bottom w:w="0" w:type="dxa"/>
          </w:tblCellMar>
        </w:tblPrEx>
        <w:trPr>
          <w:gridAfter w:val="1"/>
          <w:wAfter w:w="360" w:type="dxa"/>
        </w:trPr>
        <w:tc>
          <w:tcPr>
            <w:tcW w:w="300" w:type="pct"/>
          </w:tcPr>
          <w:p w14:paraId="0DA7B5C6" w14:textId="77777777" w:rsidR="00822F07" w:rsidRDefault="00000000">
            <w:pPr>
              <w:spacing w:before="45" w:after="5" w:line="250" w:lineRule="auto"/>
            </w:pPr>
            <w:hyperlink w:anchor="h10">
              <w:r>
                <w:rPr>
                  <w:rFonts w:cs="Times New Roman" w:hint="cs"/>
                  <w:color w:val="0000FE"/>
                  <w:szCs w:val="24"/>
                  <w:u w:val="single"/>
                  <w:rtl/>
                </w:rPr>
                <w:t>Go</w:t>
              </w:r>
            </w:hyperlink>
          </w:p>
        </w:tc>
        <w:tc>
          <w:tcPr>
            <w:tcW w:w="0" w:type="auto"/>
          </w:tcPr>
          <w:p w14:paraId="75F533F5" w14:textId="77777777" w:rsidR="00822F07" w:rsidRDefault="00000000">
            <w:pPr>
              <w:spacing w:before="45" w:after="5" w:line="250" w:lineRule="auto"/>
            </w:pPr>
            <w:r>
              <w:rPr>
                <w:rFonts w:cs="Times New Roman" w:hint="cs"/>
                <w:szCs w:val="24"/>
                <w:rtl/>
              </w:rPr>
              <w:t>תוספת</w:t>
            </w:r>
          </w:p>
        </w:tc>
      </w:tr>
      <w:tr w:rsidR="00822F07" w14:paraId="5755DC12" w14:textId="77777777">
        <w:tblPrEx>
          <w:tblCellMar>
            <w:top w:w="0" w:type="dxa"/>
            <w:bottom w:w="0" w:type="dxa"/>
          </w:tblCellMar>
        </w:tblPrEx>
        <w:tc>
          <w:tcPr>
            <w:tcW w:w="300" w:type="pct"/>
          </w:tcPr>
          <w:p w14:paraId="0F99BC12" w14:textId="77777777" w:rsidR="00822F07" w:rsidRDefault="00000000">
            <w:pPr>
              <w:spacing w:before="45" w:after="5" w:line="250" w:lineRule="auto"/>
            </w:pPr>
            <w:hyperlink w:anchor="h11">
              <w:r>
                <w:rPr>
                  <w:rFonts w:cs="Times New Roman" w:hint="cs"/>
                  <w:color w:val="0000FE"/>
                  <w:szCs w:val="24"/>
                  <w:u w:val="single"/>
                  <w:rtl/>
                </w:rPr>
                <w:t>Go</w:t>
              </w:r>
            </w:hyperlink>
          </w:p>
        </w:tc>
        <w:tc>
          <w:tcPr>
            <w:tcW w:w="0" w:type="auto"/>
          </w:tcPr>
          <w:p w14:paraId="17D0C26D" w14:textId="77777777" w:rsidR="00822F07" w:rsidRDefault="00822F07">
            <w:pPr>
              <w:spacing w:before="45" w:after="5" w:line="250" w:lineRule="auto"/>
            </w:pPr>
          </w:p>
        </w:tc>
        <w:tc>
          <w:tcPr>
            <w:tcW w:w="800" w:type="pct"/>
          </w:tcPr>
          <w:p w14:paraId="3EBF98CE" w14:textId="77777777" w:rsidR="00822F07" w:rsidRDefault="00000000">
            <w:pPr>
              <w:spacing w:before="45" w:after="5" w:line="250" w:lineRule="auto"/>
            </w:pPr>
            <w:r>
              <w:rPr>
                <w:rFonts w:cs="Times New Roman" w:hint="cs"/>
                <w:szCs w:val="24"/>
                <w:rtl/>
              </w:rPr>
              <w:t>סעיף (1)</w:t>
            </w:r>
          </w:p>
        </w:tc>
      </w:tr>
      <w:tr w:rsidR="00822F07" w14:paraId="06AC0C77" w14:textId="77777777">
        <w:tblPrEx>
          <w:tblCellMar>
            <w:top w:w="0" w:type="dxa"/>
            <w:bottom w:w="0" w:type="dxa"/>
          </w:tblCellMar>
        </w:tblPrEx>
        <w:tc>
          <w:tcPr>
            <w:tcW w:w="300" w:type="pct"/>
          </w:tcPr>
          <w:p w14:paraId="13E87216" w14:textId="77777777" w:rsidR="00822F07" w:rsidRDefault="00000000">
            <w:pPr>
              <w:spacing w:before="45" w:after="5" w:line="250" w:lineRule="auto"/>
            </w:pPr>
            <w:hyperlink w:anchor="h12">
              <w:r>
                <w:rPr>
                  <w:rFonts w:cs="Times New Roman" w:hint="cs"/>
                  <w:color w:val="0000FE"/>
                  <w:szCs w:val="24"/>
                  <w:u w:val="single"/>
                  <w:rtl/>
                </w:rPr>
                <w:t>Go</w:t>
              </w:r>
            </w:hyperlink>
          </w:p>
        </w:tc>
        <w:tc>
          <w:tcPr>
            <w:tcW w:w="0" w:type="auto"/>
          </w:tcPr>
          <w:p w14:paraId="576D7DC6" w14:textId="77777777" w:rsidR="00822F07" w:rsidRDefault="00822F07">
            <w:pPr>
              <w:spacing w:before="45" w:after="5" w:line="250" w:lineRule="auto"/>
            </w:pPr>
          </w:p>
        </w:tc>
        <w:tc>
          <w:tcPr>
            <w:tcW w:w="800" w:type="pct"/>
          </w:tcPr>
          <w:p w14:paraId="1E7EEF38" w14:textId="77777777" w:rsidR="00822F07" w:rsidRDefault="00000000">
            <w:pPr>
              <w:spacing w:before="45" w:after="5" w:line="250" w:lineRule="auto"/>
            </w:pPr>
            <w:r>
              <w:rPr>
                <w:rFonts w:cs="Times New Roman" w:hint="cs"/>
                <w:szCs w:val="24"/>
                <w:rtl/>
              </w:rPr>
              <w:t>סעיף (2)</w:t>
            </w:r>
          </w:p>
        </w:tc>
      </w:tr>
      <w:tr w:rsidR="00822F07" w14:paraId="51833ED2" w14:textId="77777777">
        <w:tblPrEx>
          <w:tblCellMar>
            <w:top w:w="0" w:type="dxa"/>
            <w:bottom w:w="0" w:type="dxa"/>
          </w:tblCellMar>
        </w:tblPrEx>
        <w:tc>
          <w:tcPr>
            <w:tcW w:w="300" w:type="pct"/>
          </w:tcPr>
          <w:p w14:paraId="1166F1E6" w14:textId="77777777" w:rsidR="00822F07" w:rsidRDefault="00000000">
            <w:pPr>
              <w:spacing w:before="45" w:after="5" w:line="250" w:lineRule="auto"/>
            </w:pPr>
            <w:hyperlink w:anchor="h13">
              <w:r>
                <w:rPr>
                  <w:rFonts w:cs="Times New Roman" w:hint="cs"/>
                  <w:color w:val="0000FE"/>
                  <w:szCs w:val="24"/>
                  <w:u w:val="single"/>
                  <w:rtl/>
                </w:rPr>
                <w:t>Go</w:t>
              </w:r>
            </w:hyperlink>
          </w:p>
        </w:tc>
        <w:tc>
          <w:tcPr>
            <w:tcW w:w="0" w:type="auto"/>
          </w:tcPr>
          <w:p w14:paraId="355AAEAA" w14:textId="77777777" w:rsidR="00822F07" w:rsidRDefault="00822F07">
            <w:pPr>
              <w:spacing w:before="45" w:after="5" w:line="250" w:lineRule="auto"/>
            </w:pPr>
          </w:p>
        </w:tc>
        <w:tc>
          <w:tcPr>
            <w:tcW w:w="800" w:type="pct"/>
          </w:tcPr>
          <w:p w14:paraId="72EB8CBE" w14:textId="77777777" w:rsidR="00822F07" w:rsidRDefault="00000000">
            <w:pPr>
              <w:spacing w:before="45" w:after="5" w:line="250" w:lineRule="auto"/>
            </w:pPr>
            <w:r>
              <w:rPr>
                <w:rFonts w:cs="Times New Roman" w:hint="cs"/>
                <w:szCs w:val="24"/>
                <w:rtl/>
              </w:rPr>
              <w:t>סעיף (3)</w:t>
            </w:r>
          </w:p>
        </w:tc>
      </w:tr>
      <w:tr w:rsidR="00822F07" w14:paraId="7A3BADB7" w14:textId="77777777">
        <w:tblPrEx>
          <w:tblCellMar>
            <w:top w:w="0" w:type="dxa"/>
            <w:bottom w:w="0" w:type="dxa"/>
          </w:tblCellMar>
        </w:tblPrEx>
        <w:tc>
          <w:tcPr>
            <w:tcW w:w="300" w:type="pct"/>
          </w:tcPr>
          <w:p w14:paraId="330DEA69" w14:textId="77777777" w:rsidR="00822F07" w:rsidRDefault="00000000">
            <w:pPr>
              <w:spacing w:before="45" w:after="5" w:line="250" w:lineRule="auto"/>
            </w:pPr>
            <w:hyperlink w:anchor="h14">
              <w:r>
                <w:rPr>
                  <w:rFonts w:cs="Times New Roman" w:hint="cs"/>
                  <w:color w:val="0000FE"/>
                  <w:szCs w:val="24"/>
                  <w:u w:val="single"/>
                  <w:rtl/>
                </w:rPr>
                <w:t>Go</w:t>
              </w:r>
            </w:hyperlink>
          </w:p>
        </w:tc>
        <w:tc>
          <w:tcPr>
            <w:tcW w:w="0" w:type="auto"/>
          </w:tcPr>
          <w:p w14:paraId="37E69C1B" w14:textId="77777777" w:rsidR="00822F07" w:rsidRDefault="00822F07">
            <w:pPr>
              <w:spacing w:before="45" w:after="5" w:line="250" w:lineRule="auto"/>
            </w:pPr>
          </w:p>
        </w:tc>
        <w:tc>
          <w:tcPr>
            <w:tcW w:w="800" w:type="pct"/>
          </w:tcPr>
          <w:p w14:paraId="24FF891C" w14:textId="77777777" w:rsidR="00822F07" w:rsidRDefault="00000000">
            <w:pPr>
              <w:spacing w:before="45" w:after="5" w:line="250" w:lineRule="auto"/>
            </w:pPr>
            <w:r>
              <w:rPr>
                <w:rFonts w:cs="Times New Roman" w:hint="cs"/>
                <w:szCs w:val="24"/>
                <w:rtl/>
              </w:rPr>
              <w:t>סעיף (4)</w:t>
            </w:r>
          </w:p>
        </w:tc>
      </w:tr>
      <w:tr w:rsidR="00822F07" w14:paraId="227C523E" w14:textId="77777777">
        <w:tblPrEx>
          <w:tblCellMar>
            <w:top w:w="0" w:type="dxa"/>
            <w:bottom w:w="0" w:type="dxa"/>
          </w:tblCellMar>
        </w:tblPrEx>
        <w:tc>
          <w:tcPr>
            <w:tcW w:w="300" w:type="pct"/>
          </w:tcPr>
          <w:p w14:paraId="5E844EAC" w14:textId="77777777" w:rsidR="00822F07" w:rsidRDefault="00000000">
            <w:pPr>
              <w:spacing w:before="45" w:after="5" w:line="250" w:lineRule="auto"/>
            </w:pPr>
            <w:hyperlink w:anchor="h15">
              <w:r>
                <w:rPr>
                  <w:rFonts w:cs="Times New Roman" w:hint="cs"/>
                  <w:color w:val="0000FE"/>
                  <w:szCs w:val="24"/>
                  <w:u w:val="single"/>
                  <w:rtl/>
                </w:rPr>
                <w:t>Go</w:t>
              </w:r>
            </w:hyperlink>
          </w:p>
        </w:tc>
        <w:tc>
          <w:tcPr>
            <w:tcW w:w="0" w:type="auto"/>
          </w:tcPr>
          <w:p w14:paraId="14CB0CCE" w14:textId="77777777" w:rsidR="00822F07" w:rsidRDefault="00822F07">
            <w:pPr>
              <w:spacing w:before="45" w:after="5" w:line="250" w:lineRule="auto"/>
            </w:pPr>
          </w:p>
        </w:tc>
        <w:tc>
          <w:tcPr>
            <w:tcW w:w="800" w:type="pct"/>
          </w:tcPr>
          <w:p w14:paraId="4CB6F907" w14:textId="77777777" w:rsidR="00822F07" w:rsidRDefault="00000000">
            <w:pPr>
              <w:spacing w:before="45" w:after="5" w:line="250" w:lineRule="auto"/>
            </w:pPr>
            <w:r>
              <w:rPr>
                <w:rFonts w:cs="Times New Roman" w:hint="cs"/>
                <w:szCs w:val="24"/>
                <w:rtl/>
              </w:rPr>
              <w:t>סעיף (5)</w:t>
            </w:r>
          </w:p>
        </w:tc>
      </w:tr>
      <w:tr w:rsidR="00822F07" w14:paraId="7538B4AF" w14:textId="77777777">
        <w:tblPrEx>
          <w:tblCellMar>
            <w:top w:w="0" w:type="dxa"/>
            <w:bottom w:w="0" w:type="dxa"/>
          </w:tblCellMar>
        </w:tblPrEx>
        <w:tc>
          <w:tcPr>
            <w:tcW w:w="300" w:type="pct"/>
          </w:tcPr>
          <w:p w14:paraId="166BE00E" w14:textId="77777777" w:rsidR="00822F07" w:rsidRDefault="00000000">
            <w:pPr>
              <w:spacing w:before="45" w:after="5" w:line="250" w:lineRule="auto"/>
            </w:pPr>
            <w:hyperlink w:anchor="h16">
              <w:r>
                <w:rPr>
                  <w:rFonts w:cs="Times New Roman" w:hint="cs"/>
                  <w:color w:val="0000FE"/>
                  <w:szCs w:val="24"/>
                  <w:u w:val="single"/>
                  <w:rtl/>
                </w:rPr>
                <w:t>Go</w:t>
              </w:r>
            </w:hyperlink>
          </w:p>
        </w:tc>
        <w:tc>
          <w:tcPr>
            <w:tcW w:w="0" w:type="auto"/>
          </w:tcPr>
          <w:p w14:paraId="437F3029" w14:textId="77777777" w:rsidR="00822F07" w:rsidRDefault="00822F07">
            <w:pPr>
              <w:spacing w:before="45" w:after="5" w:line="250" w:lineRule="auto"/>
            </w:pPr>
          </w:p>
        </w:tc>
        <w:tc>
          <w:tcPr>
            <w:tcW w:w="800" w:type="pct"/>
          </w:tcPr>
          <w:p w14:paraId="01675BC8" w14:textId="77777777" w:rsidR="00822F07" w:rsidRDefault="00000000">
            <w:pPr>
              <w:spacing w:before="45" w:after="5" w:line="250" w:lineRule="auto"/>
            </w:pPr>
            <w:r>
              <w:rPr>
                <w:rFonts w:cs="Times New Roman" w:hint="cs"/>
                <w:szCs w:val="24"/>
                <w:rtl/>
              </w:rPr>
              <w:t>סעיף (6)</w:t>
            </w:r>
          </w:p>
        </w:tc>
      </w:tr>
      <w:tr w:rsidR="00822F07" w14:paraId="68831CE2" w14:textId="77777777">
        <w:tblPrEx>
          <w:tblCellMar>
            <w:top w:w="0" w:type="dxa"/>
            <w:bottom w:w="0" w:type="dxa"/>
          </w:tblCellMar>
        </w:tblPrEx>
        <w:tc>
          <w:tcPr>
            <w:tcW w:w="300" w:type="pct"/>
          </w:tcPr>
          <w:p w14:paraId="1B78A426" w14:textId="77777777" w:rsidR="00822F07" w:rsidRDefault="00000000">
            <w:pPr>
              <w:spacing w:before="45" w:after="5" w:line="250" w:lineRule="auto"/>
            </w:pPr>
            <w:hyperlink w:anchor="h17">
              <w:r>
                <w:rPr>
                  <w:rFonts w:cs="Times New Roman" w:hint="cs"/>
                  <w:color w:val="0000FE"/>
                  <w:szCs w:val="24"/>
                  <w:u w:val="single"/>
                  <w:rtl/>
                </w:rPr>
                <w:t>Go</w:t>
              </w:r>
            </w:hyperlink>
          </w:p>
        </w:tc>
        <w:tc>
          <w:tcPr>
            <w:tcW w:w="0" w:type="auto"/>
          </w:tcPr>
          <w:p w14:paraId="7E3E0D82" w14:textId="77777777" w:rsidR="00822F07" w:rsidRDefault="00822F07">
            <w:pPr>
              <w:spacing w:before="45" w:after="5" w:line="250" w:lineRule="auto"/>
            </w:pPr>
          </w:p>
        </w:tc>
        <w:tc>
          <w:tcPr>
            <w:tcW w:w="800" w:type="pct"/>
          </w:tcPr>
          <w:p w14:paraId="2D992DE9" w14:textId="77777777" w:rsidR="00822F07" w:rsidRDefault="00000000">
            <w:pPr>
              <w:spacing w:before="45" w:after="5" w:line="250" w:lineRule="auto"/>
            </w:pPr>
            <w:r>
              <w:rPr>
                <w:rFonts w:cs="Times New Roman" w:hint="cs"/>
                <w:szCs w:val="24"/>
                <w:rtl/>
              </w:rPr>
              <w:t>סעיף (7)</w:t>
            </w:r>
          </w:p>
        </w:tc>
      </w:tr>
      <w:tr w:rsidR="00822F07" w14:paraId="0CB589FC" w14:textId="77777777">
        <w:tblPrEx>
          <w:tblCellMar>
            <w:top w:w="0" w:type="dxa"/>
            <w:bottom w:w="0" w:type="dxa"/>
          </w:tblCellMar>
        </w:tblPrEx>
        <w:tc>
          <w:tcPr>
            <w:tcW w:w="300" w:type="pct"/>
          </w:tcPr>
          <w:p w14:paraId="08F7F0C2" w14:textId="77777777" w:rsidR="00822F07" w:rsidRDefault="00000000">
            <w:pPr>
              <w:spacing w:before="45" w:after="5" w:line="250" w:lineRule="auto"/>
            </w:pPr>
            <w:hyperlink w:anchor="h18">
              <w:r>
                <w:rPr>
                  <w:rFonts w:cs="Times New Roman" w:hint="cs"/>
                  <w:color w:val="0000FE"/>
                  <w:szCs w:val="24"/>
                  <w:u w:val="single"/>
                  <w:rtl/>
                </w:rPr>
                <w:t>Go</w:t>
              </w:r>
            </w:hyperlink>
          </w:p>
        </w:tc>
        <w:tc>
          <w:tcPr>
            <w:tcW w:w="0" w:type="auto"/>
          </w:tcPr>
          <w:p w14:paraId="2ADBF01C" w14:textId="77777777" w:rsidR="00822F07" w:rsidRDefault="00822F07">
            <w:pPr>
              <w:spacing w:before="45" w:after="5" w:line="250" w:lineRule="auto"/>
            </w:pPr>
          </w:p>
        </w:tc>
        <w:tc>
          <w:tcPr>
            <w:tcW w:w="800" w:type="pct"/>
          </w:tcPr>
          <w:p w14:paraId="52972D66" w14:textId="77777777" w:rsidR="00822F07" w:rsidRDefault="00000000">
            <w:pPr>
              <w:spacing w:before="45" w:after="5" w:line="250" w:lineRule="auto"/>
            </w:pPr>
            <w:r>
              <w:rPr>
                <w:rFonts w:cs="Times New Roman" w:hint="cs"/>
                <w:szCs w:val="24"/>
                <w:rtl/>
              </w:rPr>
              <w:t>סעיף (8)</w:t>
            </w:r>
          </w:p>
        </w:tc>
      </w:tr>
      <w:tr w:rsidR="00822F07" w14:paraId="4A95C107" w14:textId="77777777">
        <w:tblPrEx>
          <w:tblCellMar>
            <w:top w:w="0" w:type="dxa"/>
            <w:bottom w:w="0" w:type="dxa"/>
          </w:tblCellMar>
        </w:tblPrEx>
        <w:tc>
          <w:tcPr>
            <w:tcW w:w="300" w:type="pct"/>
          </w:tcPr>
          <w:p w14:paraId="2B7B398D" w14:textId="77777777" w:rsidR="00822F07" w:rsidRDefault="00000000">
            <w:pPr>
              <w:spacing w:before="45" w:after="5" w:line="250" w:lineRule="auto"/>
            </w:pPr>
            <w:hyperlink w:anchor="h19">
              <w:r>
                <w:rPr>
                  <w:rFonts w:cs="Times New Roman" w:hint="cs"/>
                  <w:color w:val="0000FE"/>
                  <w:szCs w:val="24"/>
                  <w:u w:val="single"/>
                  <w:rtl/>
                </w:rPr>
                <w:t>Go</w:t>
              </w:r>
            </w:hyperlink>
          </w:p>
        </w:tc>
        <w:tc>
          <w:tcPr>
            <w:tcW w:w="0" w:type="auto"/>
          </w:tcPr>
          <w:p w14:paraId="315BA81F" w14:textId="77777777" w:rsidR="00822F07" w:rsidRDefault="00822F07">
            <w:pPr>
              <w:spacing w:before="45" w:after="5" w:line="250" w:lineRule="auto"/>
            </w:pPr>
          </w:p>
        </w:tc>
        <w:tc>
          <w:tcPr>
            <w:tcW w:w="800" w:type="pct"/>
          </w:tcPr>
          <w:p w14:paraId="244D7532" w14:textId="77777777" w:rsidR="00822F07" w:rsidRDefault="00000000">
            <w:pPr>
              <w:spacing w:before="45" w:after="5" w:line="250" w:lineRule="auto"/>
            </w:pPr>
            <w:r>
              <w:rPr>
                <w:rFonts w:cs="Times New Roman" w:hint="cs"/>
                <w:szCs w:val="24"/>
                <w:rtl/>
              </w:rPr>
              <w:t>סעיף (9)</w:t>
            </w:r>
          </w:p>
        </w:tc>
      </w:tr>
      <w:tr w:rsidR="00822F07" w14:paraId="3E8F894F" w14:textId="77777777">
        <w:tblPrEx>
          <w:tblCellMar>
            <w:top w:w="0" w:type="dxa"/>
            <w:bottom w:w="0" w:type="dxa"/>
          </w:tblCellMar>
        </w:tblPrEx>
        <w:tc>
          <w:tcPr>
            <w:tcW w:w="300" w:type="pct"/>
          </w:tcPr>
          <w:p w14:paraId="6E1AF66B" w14:textId="77777777" w:rsidR="00822F07" w:rsidRDefault="00000000">
            <w:pPr>
              <w:spacing w:before="45" w:after="5" w:line="250" w:lineRule="auto"/>
            </w:pPr>
            <w:hyperlink w:anchor="h20">
              <w:r>
                <w:rPr>
                  <w:rFonts w:cs="Times New Roman" w:hint="cs"/>
                  <w:color w:val="0000FE"/>
                  <w:szCs w:val="24"/>
                  <w:u w:val="single"/>
                  <w:rtl/>
                </w:rPr>
                <w:t>Go</w:t>
              </w:r>
            </w:hyperlink>
          </w:p>
        </w:tc>
        <w:tc>
          <w:tcPr>
            <w:tcW w:w="0" w:type="auto"/>
          </w:tcPr>
          <w:p w14:paraId="1B6C4EA6" w14:textId="77777777" w:rsidR="00822F07" w:rsidRDefault="00822F07">
            <w:pPr>
              <w:spacing w:before="45" w:after="5" w:line="250" w:lineRule="auto"/>
            </w:pPr>
          </w:p>
        </w:tc>
        <w:tc>
          <w:tcPr>
            <w:tcW w:w="800" w:type="pct"/>
          </w:tcPr>
          <w:p w14:paraId="2511FFD0" w14:textId="77777777" w:rsidR="00822F07" w:rsidRDefault="00000000">
            <w:pPr>
              <w:spacing w:before="45" w:after="5" w:line="250" w:lineRule="auto"/>
            </w:pPr>
            <w:r>
              <w:rPr>
                <w:rFonts w:cs="Times New Roman" w:hint="cs"/>
                <w:szCs w:val="24"/>
                <w:rtl/>
              </w:rPr>
              <w:t>סעיף (10)</w:t>
            </w:r>
          </w:p>
        </w:tc>
      </w:tr>
      <w:tr w:rsidR="00822F07" w14:paraId="2A0119A8" w14:textId="77777777">
        <w:tblPrEx>
          <w:tblCellMar>
            <w:top w:w="0" w:type="dxa"/>
            <w:bottom w:w="0" w:type="dxa"/>
          </w:tblCellMar>
        </w:tblPrEx>
        <w:tc>
          <w:tcPr>
            <w:tcW w:w="300" w:type="pct"/>
          </w:tcPr>
          <w:p w14:paraId="23935EC3" w14:textId="77777777" w:rsidR="00822F07" w:rsidRDefault="00000000">
            <w:pPr>
              <w:spacing w:before="45" w:after="5" w:line="250" w:lineRule="auto"/>
            </w:pPr>
            <w:hyperlink w:anchor="h21">
              <w:r>
                <w:rPr>
                  <w:rFonts w:cs="Times New Roman" w:hint="cs"/>
                  <w:color w:val="0000FE"/>
                  <w:szCs w:val="24"/>
                  <w:u w:val="single"/>
                  <w:rtl/>
                </w:rPr>
                <w:t>Go</w:t>
              </w:r>
            </w:hyperlink>
          </w:p>
        </w:tc>
        <w:tc>
          <w:tcPr>
            <w:tcW w:w="0" w:type="auto"/>
          </w:tcPr>
          <w:p w14:paraId="67A7281E" w14:textId="77777777" w:rsidR="00822F07" w:rsidRDefault="00822F07">
            <w:pPr>
              <w:spacing w:before="45" w:after="5" w:line="250" w:lineRule="auto"/>
            </w:pPr>
          </w:p>
        </w:tc>
        <w:tc>
          <w:tcPr>
            <w:tcW w:w="800" w:type="pct"/>
          </w:tcPr>
          <w:p w14:paraId="12BAF978" w14:textId="77777777" w:rsidR="00822F07" w:rsidRDefault="00000000">
            <w:pPr>
              <w:spacing w:before="45" w:after="5" w:line="250" w:lineRule="auto"/>
            </w:pPr>
            <w:r>
              <w:rPr>
                <w:rFonts w:cs="Times New Roman" w:hint="cs"/>
                <w:szCs w:val="24"/>
                <w:rtl/>
              </w:rPr>
              <w:t>סעיף (11)</w:t>
            </w:r>
          </w:p>
        </w:tc>
      </w:tr>
      <w:tr w:rsidR="00822F07" w14:paraId="02B10F1B" w14:textId="77777777">
        <w:tblPrEx>
          <w:tblCellMar>
            <w:top w:w="0" w:type="dxa"/>
            <w:bottom w:w="0" w:type="dxa"/>
          </w:tblCellMar>
        </w:tblPrEx>
        <w:tc>
          <w:tcPr>
            <w:tcW w:w="300" w:type="pct"/>
          </w:tcPr>
          <w:p w14:paraId="07420A31" w14:textId="77777777" w:rsidR="00822F07" w:rsidRDefault="00000000">
            <w:pPr>
              <w:spacing w:before="45" w:after="5" w:line="250" w:lineRule="auto"/>
            </w:pPr>
            <w:hyperlink w:anchor="h22">
              <w:r>
                <w:rPr>
                  <w:rFonts w:cs="Times New Roman" w:hint="cs"/>
                  <w:color w:val="0000FE"/>
                  <w:szCs w:val="24"/>
                  <w:u w:val="single"/>
                  <w:rtl/>
                </w:rPr>
                <w:t>Go</w:t>
              </w:r>
            </w:hyperlink>
          </w:p>
        </w:tc>
        <w:tc>
          <w:tcPr>
            <w:tcW w:w="0" w:type="auto"/>
          </w:tcPr>
          <w:p w14:paraId="0B8DAA35" w14:textId="77777777" w:rsidR="00822F07" w:rsidRDefault="00822F07">
            <w:pPr>
              <w:spacing w:before="45" w:after="5" w:line="250" w:lineRule="auto"/>
            </w:pPr>
          </w:p>
        </w:tc>
        <w:tc>
          <w:tcPr>
            <w:tcW w:w="800" w:type="pct"/>
          </w:tcPr>
          <w:p w14:paraId="54C773C4" w14:textId="77777777" w:rsidR="00822F07" w:rsidRDefault="00000000">
            <w:pPr>
              <w:spacing w:before="45" w:after="5" w:line="250" w:lineRule="auto"/>
            </w:pPr>
            <w:r>
              <w:rPr>
                <w:rFonts w:cs="Times New Roman" w:hint="cs"/>
                <w:szCs w:val="24"/>
                <w:rtl/>
              </w:rPr>
              <w:t>סעיף (12)</w:t>
            </w:r>
          </w:p>
        </w:tc>
      </w:tr>
      <w:tr w:rsidR="00822F07" w14:paraId="50755625" w14:textId="77777777">
        <w:tblPrEx>
          <w:tblCellMar>
            <w:top w:w="0" w:type="dxa"/>
            <w:bottom w:w="0" w:type="dxa"/>
          </w:tblCellMar>
        </w:tblPrEx>
        <w:tc>
          <w:tcPr>
            <w:tcW w:w="300" w:type="pct"/>
          </w:tcPr>
          <w:p w14:paraId="5D9D3DAC" w14:textId="77777777" w:rsidR="00822F07" w:rsidRDefault="00000000">
            <w:pPr>
              <w:spacing w:before="45" w:after="5" w:line="250" w:lineRule="auto"/>
            </w:pPr>
            <w:hyperlink w:anchor="h23">
              <w:r>
                <w:rPr>
                  <w:rFonts w:cs="Times New Roman" w:hint="cs"/>
                  <w:color w:val="0000FE"/>
                  <w:szCs w:val="24"/>
                  <w:u w:val="single"/>
                  <w:rtl/>
                </w:rPr>
                <w:t>Go</w:t>
              </w:r>
            </w:hyperlink>
          </w:p>
        </w:tc>
        <w:tc>
          <w:tcPr>
            <w:tcW w:w="0" w:type="auto"/>
          </w:tcPr>
          <w:p w14:paraId="7453D889" w14:textId="77777777" w:rsidR="00822F07" w:rsidRDefault="00822F07">
            <w:pPr>
              <w:spacing w:before="45" w:after="5" w:line="250" w:lineRule="auto"/>
            </w:pPr>
          </w:p>
        </w:tc>
        <w:tc>
          <w:tcPr>
            <w:tcW w:w="800" w:type="pct"/>
          </w:tcPr>
          <w:p w14:paraId="4FA6E393" w14:textId="77777777" w:rsidR="00822F07" w:rsidRDefault="00000000">
            <w:pPr>
              <w:spacing w:before="45" w:after="5" w:line="250" w:lineRule="auto"/>
            </w:pPr>
            <w:r>
              <w:rPr>
                <w:rFonts w:cs="Times New Roman" w:hint="cs"/>
                <w:szCs w:val="24"/>
                <w:rtl/>
              </w:rPr>
              <w:t>סעיף (13)</w:t>
            </w:r>
          </w:p>
        </w:tc>
      </w:tr>
      <w:tr w:rsidR="00822F07" w14:paraId="43CABCFC" w14:textId="77777777">
        <w:tblPrEx>
          <w:tblCellMar>
            <w:top w:w="0" w:type="dxa"/>
            <w:bottom w:w="0" w:type="dxa"/>
          </w:tblCellMar>
        </w:tblPrEx>
        <w:tc>
          <w:tcPr>
            <w:tcW w:w="300" w:type="pct"/>
          </w:tcPr>
          <w:p w14:paraId="407697D1" w14:textId="77777777" w:rsidR="00822F07" w:rsidRDefault="00000000">
            <w:pPr>
              <w:spacing w:before="45" w:after="5" w:line="250" w:lineRule="auto"/>
            </w:pPr>
            <w:hyperlink w:anchor="h24">
              <w:r>
                <w:rPr>
                  <w:rFonts w:cs="Times New Roman" w:hint="cs"/>
                  <w:color w:val="0000FE"/>
                  <w:szCs w:val="24"/>
                  <w:u w:val="single"/>
                  <w:rtl/>
                </w:rPr>
                <w:t>Go</w:t>
              </w:r>
            </w:hyperlink>
          </w:p>
        </w:tc>
        <w:tc>
          <w:tcPr>
            <w:tcW w:w="0" w:type="auto"/>
          </w:tcPr>
          <w:p w14:paraId="20AB069E" w14:textId="77777777" w:rsidR="00822F07" w:rsidRDefault="00822F07">
            <w:pPr>
              <w:spacing w:before="45" w:after="5" w:line="250" w:lineRule="auto"/>
            </w:pPr>
          </w:p>
        </w:tc>
        <w:tc>
          <w:tcPr>
            <w:tcW w:w="800" w:type="pct"/>
          </w:tcPr>
          <w:p w14:paraId="5C299F22" w14:textId="77777777" w:rsidR="00822F07" w:rsidRDefault="00000000">
            <w:pPr>
              <w:spacing w:before="45" w:after="5" w:line="250" w:lineRule="auto"/>
            </w:pPr>
            <w:r>
              <w:rPr>
                <w:rFonts w:cs="Times New Roman" w:hint="cs"/>
                <w:szCs w:val="24"/>
                <w:rtl/>
              </w:rPr>
              <w:t>סעיף (14)</w:t>
            </w:r>
          </w:p>
        </w:tc>
      </w:tr>
      <w:tr w:rsidR="00822F07" w14:paraId="0FB07115" w14:textId="77777777">
        <w:tblPrEx>
          <w:tblCellMar>
            <w:top w:w="0" w:type="dxa"/>
            <w:bottom w:w="0" w:type="dxa"/>
          </w:tblCellMar>
        </w:tblPrEx>
        <w:tc>
          <w:tcPr>
            <w:tcW w:w="300" w:type="pct"/>
          </w:tcPr>
          <w:p w14:paraId="53C0DD06" w14:textId="77777777" w:rsidR="00822F07" w:rsidRDefault="00000000">
            <w:pPr>
              <w:spacing w:before="45" w:after="5" w:line="250" w:lineRule="auto"/>
            </w:pPr>
            <w:hyperlink w:anchor="h25">
              <w:r>
                <w:rPr>
                  <w:rFonts w:cs="Times New Roman" w:hint="cs"/>
                  <w:color w:val="0000FE"/>
                  <w:szCs w:val="24"/>
                  <w:u w:val="single"/>
                  <w:rtl/>
                </w:rPr>
                <w:t>Go</w:t>
              </w:r>
            </w:hyperlink>
          </w:p>
        </w:tc>
        <w:tc>
          <w:tcPr>
            <w:tcW w:w="0" w:type="auto"/>
          </w:tcPr>
          <w:p w14:paraId="28EC01FA" w14:textId="77777777" w:rsidR="00822F07" w:rsidRDefault="00822F07">
            <w:pPr>
              <w:spacing w:before="45" w:after="5" w:line="250" w:lineRule="auto"/>
            </w:pPr>
          </w:p>
        </w:tc>
        <w:tc>
          <w:tcPr>
            <w:tcW w:w="800" w:type="pct"/>
          </w:tcPr>
          <w:p w14:paraId="0114A2A6" w14:textId="77777777" w:rsidR="00822F07" w:rsidRDefault="00000000">
            <w:pPr>
              <w:spacing w:before="45" w:after="5" w:line="250" w:lineRule="auto"/>
            </w:pPr>
            <w:r>
              <w:rPr>
                <w:rFonts w:cs="Times New Roman" w:hint="cs"/>
                <w:szCs w:val="24"/>
                <w:rtl/>
              </w:rPr>
              <w:t>סעיף (15)</w:t>
            </w:r>
          </w:p>
        </w:tc>
      </w:tr>
      <w:tr w:rsidR="00822F07" w14:paraId="0B6B393E" w14:textId="77777777">
        <w:tblPrEx>
          <w:tblCellMar>
            <w:top w:w="0" w:type="dxa"/>
            <w:bottom w:w="0" w:type="dxa"/>
          </w:tblCellMar>
        </w:tblPrEx>
        <w:tc>
          <w:tcPr>
            <w:tcW w:w="300" w:type="pct"/>
          </w:tcPr>
          <w:p w14:paraId="7EEEDDA3" w14:textId="77777777" w:rsidR="00822F07" w:rsidRDefault="00000000">
            <w:pPr>
              <w:spacing w:before="45" w:after="5" w:line="250" w:lineRule="auto"/>
            </w:pPr>
            <w:hyperlink w:anchor="h26">
              <w:r>
                <w:rPr>
                  <w:rFonts w:cs="Times New Roman" w:hint="cs"/>
                  <w:color w:val="0000FE"/>
                  <w:szCs w:val="24"/>
                  <w:u w:val="single"/>
                  <w:rtl/>
                </w:rPr>
                <w:t>Go</w:t>
              </w:r>
            </w:hyperlink>
          </w:p>
        </w:tc>
        <w:tc>
          <w:tcPr>
            <w:tcW w:w="0" w:type="auto"/>
          </w:tcPr>
          <w:p w14:paraId="2CB9A599" w14:textId="77777777" w:rsidR="00822F07" w:rsidRDefault="00822F07">
            <w:pPr>
              <w:spacing w:before="45" w:after="5" w:line="250" w:lineRule="auto"/>
            </w:pPr>
          </w:p>
        </w:tc>
        <w:tc>
          <w:tcPr>
            <w:tcW w:w="800" w:type="pct"/>
          </w:tcPr>
          <w:p w14:paraId="6912A5B0" w14:textId="77777777" w:rsidR="00822F07" w:rsidRDefault="00000000">
            <w:pPr>
              <w:spacing w:before="45" w:after="5" w:line="250" w:lineRule="auto"/>
            </w:pPr>
            <w:r>
              <w:rPr>
                <w:rFonts w:cs="Times New Roman" w:hint="cs"/>
                <w:szCs w:val="24"/>
                <w:rtl/>
              </w:rPr>
              <w:t>סעיף (16)</w:t>
            </w:r>
          </w:p>
        </w:tc>
      </w:tr>
      <w:tr w:rsidR="00822F07" w14:paraId="74AAAA60" w14:textId="77777777">
        <w:tblPrEx>
          <w:tblCellMar>
            <w:top w:w="0" w:type="dxa"/>
            <w:bottom w:w="0" w:type="dxa"/>
          </w:tblCellMar>
        </w:tblPrEx>
        <w:tc>
          <w:tcPr>
            <w:tcW w:w="300" w:type="pct"/>
          </w:tcPr>
          <w:p w14:paraId="2B7FAD02" w14:textId="77777777" w:rsidR="00822F07" w:rsidRDefault="00000000">
            <w:pPr>
              <w:spacing w:before="45" w:after="5" w:line="250" w:lineRule="auto"/>
            </w:pPr>
            <w:hyperlink w:anchor="h27">
              <w:r>
                <w:rPr>
                  <w:rFonts w:cs="Times New Roman" w:hint="cs"/>
                  <w:color w:val="0000FE"/>
                  <w:szCs w:val="24"/>
                  <w:u w:val="single"/>
                  <w:rtl/>
                </w:rPr>
                <w:t>Go</w:t>
              </w:r>
            </w:hyperlink>
          </w:p>
        </w:tc>
        <w:tc>
          <w:tcPr>
            <w:tcW w:w="0" w:type="auto"/>
          </w:tcPr>
          <w:p w14:paraId="5C1CE304" w14:textId="77777777" w:rsidR="00822F07" w:rsidRDefault="00822F07">
            <w:pPr>
              <w:spacing w:before="45" w:after="5" w:line="250" w:lineRule="auto"/>
            </w:pPr>
          </w:p>
        </w:tc>
        <w:tc>
          <w:tcPr>
            <w:tcW w:w="800" w:type="pct"/>
          </w:tcPr>
          <w:p w14:paraId="5B3E009F" w14:textId="77777777" w:rsidR="00822F07" w:rsidRDefault="00000000">
            <w:pPr>
              <w:spacing w:before="45" w:after="5" w:line="250" w:lineRule="auto"/>
            </w:pPr>
            <w:r>
              <w:rPr>
                <w:rFonts w:cs="Times New Roman" w:hint="cs"/>
                <w:szCs w:val="24"/>
                <w:rtl/>
              </w:rPr>
              <w:t>סעיף (17)</w:t>
            </w:r>
          </w:p>
        </w:tc>
      </w:tr>
      <w:tr w:rsidR="00822F07" w14:paraId="4D073C99" w14:textId="77777777">
        <w:tblPrEx>
          <w:tblCellMar>
            <w:top w:w="0" w:type="dxa"/>
            <w:bottom w:w="0" w:type="dxa"/>
          </w:tblCellMar>
        </w:tblPrEx>
        <w:tc>
          <w:tcPr>
            <w:tcW w:w="300" w:type="pct"/>
          </w:tcPr>
          <w:p w14:paraId="5257242D" w14:textId="77777777" w:rsidR="00822F07" w:rsidRDefault="00000000">
            <w:pPr>
              <w:spacing w:before="45" w:after="5" w:line="250" w:lineRule="auto"/>
            </w:pPr>
            <w:hyperlink w:anchor="h28">
              <w:r>
                <w:rPr>
                  <w:rFonts w:cs="Times New Roman" w:hint="cs"/>
                  <w:color w:val="0000FE"/>
                  <w:szCs w:val="24"/>
                  <w:u w:val="single"/>
                  <w:rtl/>
                </w:rPr>
                <w:t>Go</w:t>
              </w:r>
            </w:hyperlink>
          </w:p>
        </w:tc>
        <w:tc>
          <w:tcPr>
            <w:tcW w:w="0" w:type="auto"/>
          </w:tcPr>
          <w:p w14:paraId="7413C390" w14:textId="77777777" w:rsidR="00822F07" w:rsidRDefault="00822F07">
            <w:pPr>
              <w:spacing w:before="45" w:after="5" w:line="250" w:lineRule="auto"/>
            </w:pPr>
          </w:p>
        </w:tc>
        <w:tc>
          <w:tcPr>
            <w:tcW w:w="800" w:type="pct"/>
          </w:tcPr>
          <w:p w14:paraId="354256C3" w14:textId="77777777" w:rsidR="00822F07" w:rsidRDefault="00000000">
            <w:pPr>
              <w:spacing w:before="45" w:after="5" w:line="250" w:lineRule="auto"/>
            </w:pPr>
            <w:r>
              <w:rPr>
                <w:rFonts w:cs="Times New Roman" w:hint="cs"/>
                <w:szCs w:val="24"/>
                <w:rtl/>
              </w:rPr>
              <w:t>סעיף (18)</w:t>
            </w:r>
          </w:p>
        </w:tc>
      </w:tr>
      <w:tr w:rsidR="00822F07" w14:paraId="4121B7DD" w14:textId="77777777">
        <w:tblPrEx>
          <w:tblCellMar>
            <w:top w:w="0" w:type="dxa"/>
            <w:bottom w:w="0" w:type="dxa"/>
          </w:tblCellMar>
        </w:tblPrEx>
        <w:tc>
          <w:tcPr>
            <w:tcW w:w="300" w:type="pct"/>
          </w:tcPr>
          <w:p w14:paraId="29AC978B" w14:textId="77777777" w:rsidR="00822F07" w:rsidRDefault="00000000">
            <w:pPr>
              <w:spacing w:before="45" w:after="5" w:line="250" w:lineRule="auto"/>
            </w:pPr>
            <w:hyperlink w:anchor="h29">
              <w:r>
                <w:rPr>
                  <w:rFonts w:cs="Times New Roman" w:hint="cs"/>
                  <w:color w:val="0000FE"/>
                  <w:szCs w:val="24"/>
                  <w:u w:val="single"/>
                  <w:rtl/>
                </w:rPr>
                <w:t>Go</w:t>
              </w:r>
            </w:hyperlink>
          </w:p>
        </w:tc>
        <w:tc>
          <w:tcPr>
            <w:tcW w:w="0" w:type="auto"/>
          </w:tcPr>
          <w:p w14:paraId="5D3E80CB" w14:textId="77777777" w:rsidR="00822F07" w:rsidRDefault="00822F07">
            <w:pPr>
              <w:spacing w:before="45" w:after="5" w:line="250" w:lineRule="auto"/>
            </w:pPr>
          </w:p>
        </w:tc>
        <w:tc>
          <w:tcPr>
            <w:tcW w:w="800" w:type="pct"/>
          </w:tcPr>
          <w:p w14:paraId="41DFC8A8" w14:textId="77777777" w:rsidR="00822F07" w:rsidRDefault="00000000">
            <w:pPr>
              <w:spacing w:before="45" w:after="5" w:line="250" w:lineRule="auto"/>
            </w:pPr>
            <w:r>
              <w:rPr>
                <w:rFonts w:cs="Times New Roman" w:hint="cs"/>
                <w:szCs w:val="24"/>
                <w:rtl/>
              </w:rPr>
              <w:t>סעיף (19)</w:t>
            </w:r>
          </w:p>
        </w:tc>
      </w:tr>
      <w:tr w:rsidR="00822F07" w14:paraId="28F4C00A" w14:textId="77777777">
        <w:tblPrEx>
          <w:tblCellMar>
            <w:top w:w="0" w:type="dxa"/>
            <w:bottom w:w="0" w:type="dxa"/>
          </w:tblCellMar>
        </w:tblPrEx>
        <w:tc>
          <w:tcPr>
            <w:tcW w:w="300" w:type="pct"/>
          </w:tcPr>
          <w:p w14:paraId="4597632A" w14:textId="77777777" w:rsidR="00822F07" w:rsidRDefault="00000000">
            <w:pPr>
              <w:spacing w:before="45" w:after="5" w:line="250" w:lineRule="auto"/>
            </w:pPr>
            <w:hyperlink w:anchor="h30">
              <w:r>
                <w:rPr>
                  <w:rFonts w:cs="Times New Roman" w:hint="cs"/>
                  <w:color w:val="0000FE"/>
                  <w:szCs w:val="24"/>
                  <w:u w:val="single"/>
                  <w:rtl/>
                </w:rPr>
                <w:t>Go</w:t>
              </w:r>
            </w:hyperlink>
          </w:p>
        </w:tc>
        <w:tc>
          <w:tcPr>
            <w:tcW w:w="0" w:type="auto"/>
          </w:tcPr>
          <w:p w14:paraId="5BC41FD8" w14:textId="77777777" w:rsidR="00822F07" w:rsidRDefault="00822F07">
            <w:pPr>
              <w:spacing w:before="45" w:after="5" w:line="250" w:lineRule="auto"/>
            </w:pPr>
          </w:p>
        </w:tc>
        <w:tc>
          <w:tcPr>
            <w:tcW w:w="800" w:type="pct"/>
          </w:tcPr>
          <w:p w14:paraId="0E06764A" w14:textId="77777777" w:rsidR="00822F07" w:rsidRDefault="00000000">
            <w:pPr>
              <w:spacing w:before="45" w:after="5" w:line="250" w:lineRule="auto"/>
            </w:pPr>
            <w:r>
              <w:rPr>
                <w:rFonts w:cs="Times New Roman" w:hint="cs"/>
                <w:szCs w:val="24"/>
                <w:rtl/>
              </w:rPr>
              <w:t>סעיף (20)</w:t>
            </w:r>
          </w:p>
        </w:tc>
      </w:tr>
      <w:tr w:rsidR="00822F07" w14:paraId="07D89E6A" w14:textId="77777777">
        <w:tblPrEx>
          <w:tblCellMar>
            <w:top w:w="0" w:type="dxa"/>
            <w:bottom w:w="0" w:type="dxa"/>
          </w:tblCellMar>
        </w:tblPrEx>
        <w:tc>
          <w:tcPr>
            <w:tcW w:w="300" w:type="pct"/>
          </w:tcPr>
          <w:p w14:paraId="5077FA3A" w14:textId="77777777" w:rsidR="00822F07" w:rsidRDefault="00000000">
            <w:pPr>
              <w:spacing w:before="45" w:after="5" w:line="250" w:lineRule="auto"/>
            </w:pPr>
            <w:hyperlink w:anchor="h31">
              <w:r>
                <w:rPr>
                  <w:rFonts w:cs="Times New Roman" w:hint="cs"/>
                  <w:color w:val="0000FE"/>
                  <w:szCs w:val="24"/>
                  <w:u w:val="single"/>
                  <w:rtl/>
                </w:rPr>
                <w:t>Go</w:t>
              </w:r>
            </w:hyperlink>
          </w:p>
        </w:tc>
        <w:tc>
          <w:tcPr>
            <w:tcW w:w="0" w:type="auto"/>
          </w:tcPr>
          <w:p w14:paraId="25C75E8F" w14:textId="77777777" w:rsidR="00822F07" w:rsidRDefault="00822F07">
            <w:pPr>
              <w:spacing w:before="45" w:after="5" w:line="250" w:lineRule="auto"/>
            </w:pPr>
          </w:p>
        </w:tc>
        <w:tc>
          <w:tcPr>
            <w:tcW w:w="800" w:type="pct"/>
          </w:tcPr>
          <w:p w14:paraId="6C836578" w14:textId="77777777" w:rsidR="00822F07" w:rsidRDefault="00000000">
            <w:pPr>
              <w:spacing w:before="45" w:after="5" w:line="250" w:lineRule="auto"/>
            </w:pPr>
            <w:r>
              <w:rPr>
                <w:rFonts w:cs="Times New Roman" w:hint="cs"/>
                <w:szCs w:val="24"/>
                <w:rtl/>
              </w:rPr>
              <w:t>סעיף (21)</w:t>
            </w:r>
          </w:p>
        </w:tc>
      </w:tr>
      <w:tr w:rsidR="00822F07" w14:paraId="5FEA3E99" w14:textId="77777777">
        <w:tblPrEx>
          <w:tblCellMar>
            <w:top w:w="0" w:type="dxa"/>
            <w:bottom w:w="0" w:type="dxa"/>
          </w:tblCellMar>
        </w:tblPrEx>
        <w:tc>
          <w:tcPr>
            <w:tcW w:w="300" w:type="pct"/>
          </w:tcPr>
          <w:p w14:paraId="1C41F8B0" w14:textId="77777777" w:rsidR="00822F07" w:rsidRDefault="00000000">
            <w:pPr>
              <w:spacing w:before="45" w:after="5" w:line="250" w:lineRule="auto"/>
            </w:pPr>
            <w:hyperlink w:anchor="h32">
              <w:r>
                <w:rPr>
                  <w:rFonts w:cs="Times New Roman" w:hint="cs"/>
                  <w:color w:val="0000FE"/>
                  <w:szCs w:val="24"/>
                  <w:u w:val="single"/>
                  <w:rtl/>
                </w:rPr>
                <w:t>Go</w:t>
              </w:r>
            </w:hyperlink>
          </w:p>
        </w:tc>
        <w:tc>
          <w:tcPr>
            <w:tcW w:w="0" w:type="auto"/>
          </w:tcPr>
          <w:p w14:paraId="29EE49E9" w14:textId="77777777" w:rsidR="00822F07" w:rsidRDefault="00822F07">
            <w:pPr>
              <w:spacing w:before="45" w:after="5" w:line="250" w:lineRule="auto"/>
            </w:pPr>
          </w:p>
        </w:tc>
        <w:tc>
          <w:tcPr>
            <w:tcW w:w="800" w:type="pct"/>
          </w:tcPr>
          <w:p w14:paraId="35963E8C" w14:textId="77777777" w:rsidR="00822F07" w:rsidRDefault="00000000">
            <w:pPr>
              <w:spacing w:before="45" w:after="5" w:line="250" w:lineRule="auto"/>
            </w:pPr>
            <w:r>
              <w:rPr>
                <w:rFonts w:cs="Times New Roman" w:hint="cs"/>
                <w:szCs w:val="24"/>
                <w:rtl/>
              </w:rPr>
              <w:t>סעיף (22)</w:t>
            </w:r>
          </w:p>
        </w:tc>
      </w:tr>
      <w:tr w:rsidR="00822F07" w14:paraId="7B6AE475" w14:textId="77777777">
        <w:tblPrEx>
          <w:tblCellMar>
            <w:top w:w="0" w:type="dxa"/>
            <w:bottom w:w="0" w:type="dxa"/>
          </w:tblCellMar>
        </w:tblPrEx>
        <w:tc>
          <w:tcPr>
            <w:tcW w:w="300" w:type="pct"/>
          </w:tcPr>
          <w:p w14:paraId="38706732" w14:textId="77777777" w:rsidR="00822F07" w:rsidRDefault="00000000">
            <w:pPr>
              <w:spacing w:before="45" w:after="5" w:line="250" w:lineRule="auto"/>
            </w:pPr>
            <w:hyperlink w:anchor="h33">
              <w:r>
                <w:rPr>
                  <w:rFonts w:cs="Times New Roman" w:hint="cs"/>
                  <w:color w:val="0000FE"/>
                  <w:szCs w:val="24"/>
                  <w:u w:val="single"/>
                  <w:rtl/>
                </w:rPr>
                <w:t>Go</w:t>
              </w:r>
            </w:hyperlink>
          </w:p>
        </w:tc>
        <w:tc>
          <w:tcPr>
            <w:tcW w:w="0" w:type="auto"/>
          </w:tcPr>
          <w:p w14:paraId="4B33CD6B" w14:textId="77777777" w:rsidR="00822F07" w:rsidRDefault="00822F07">
            <w:pPr>
              <w:spacing w:before="45" w:after="5" w:line="250" w:lineRule="auto"/>
            </w:pPr>
          </w:p>
        </w:tc>
        <w:tc>
          <w:tcPr>
            <w:tcW w:w="800" w:type="pct"/>
          </w:tcPr>
          <w:p w14:paraId="1D5C5D10" w14:textId="77777777" w:rsidR="00822F07" w:rsidRDefault="00000000">
            <w:pPr>
              <w:spacing w:before="45" w:after="5" w:line="250" w:lineRule="auto"/>
            </w:pPr>
            <w:r>
              <w:rPr>
                <w:rFonts w:cs="Times New Roman" w:hint="cs"/>
                <w:szCs w:val="24"/>
                <w:rtl/>
              </w:rPr>
              <w:t>סעיף (23)</w:t>
            </w:r>
          </w:p>
        </w:tc>
      </w:tr>
    </w:tbl>
    <w:p w14:paraId="4ECB5ECE" w14:textId="77777777" w:rsidR="00822F07" w:rsidRDefault="00000000">
      <w:pPr>
        <w:spacing w:before="45" w:after="5" w:line="250" w:lineRule="auto"/>
      </w:pPr>
      <w:r>
        <w:br w:type="page"/>
      </w:r>
    </w:p>
    <w:p w14:paraId="6B00D9E1" w14:textId="77777777" w:rsidR="00822F07" w:rsidRDefault="00000000">
      <w:pPr>
        <w:spacing w:before="45" w:after="70" w:line="250" w:lineRule="auto"/>
        <w:jc w:val="center"/>
      </w:pPr>
      <w:r>
        <w:rPr>
          <w:rFonts w:cs="FrankRuehl" w:hint="cs"/>
          <w:szCs w:val="32"/>
          <w:rtl/>
        </w:rPr>
        <w:lastRenderedPageBreak/>
        <w:t>תקנות הגנת הצרכן (ביטול עסקה), תשע"א-2010</w:t>
      </w:r>
    </w:p>
    <w:p w14:paraId="1AB36CCD" w14:textId="77777777" w:rsidR="00822F07" w:rsidRDefault="00000000">
      <w:pPr>
        <w:tabs>
          <w:tab w:val="left" w:pos="720"/>
          <w:tab w:val="left" w:pos="1440"/>
          <w:tab w:val="left" w:pos="2160"/>
          <w:tab w:val="left" w:pos="2880"/>
          <w:tab w:val="left" w:pos="3600"/>
        </w:tabs>
        <w:spacing w:before="45" w:after="50" w:line="250" w:lineRule="auto"/>
        <w:jc w:val="both"/>
      </w:pPr>
      <w:r>
        <w:rPr>
          <w:rFonts w:cs="FrankRuehl" w:hint="cs"/>
          <w:szCs w:val="26"/>
          <w:rtl/>
        </w:rPr>
        <w:t>בתוקף סמכותי לפי סעיף 14ו ו-37 לחוק הגנת הצרכן, התשמ"א-1981 (להלן – החוק), בהתייעצות עם שר התקשורת, שר התיירות, שר התחבורה, שר הבריאות, שר החינוך, שר המדע, שר התרבות והספורט ושר האוצר, בהתייעצות עם הממונה ובאישור ועדת הכלכלה של הכנסת אני מתקין תקנות אלה:</w:t>
      </w:r>
    </w:p>
    <w:p w14:paraId="7061A2DA" w14:textId="3A169959" w:rsidR="00822F07" w:rsidRDefault="009D2259">
      <w:pPr>
        <w:tabs>
          <w:tab w:val="left" w:pos="720"/>
          <w:tab w:val="left" w:pos="1440"/>
          <w:tab w:val="left" w:pos="2160"/>
          <w:tab w:val="left" w:pos="2880"/>
          <w:tab w:val="left" w:pos="3600"/>
        </w:tabs>
        <w:spacing w:before="45" w:after="50" w:line="250" w:lineRule="auto"/>
        <w:ind w:left="720" w:hanging="720"/>
        <w:jc w:val="both"/>
      </w:pPr>
      <w:bookmarkStart w:id="0" w:name="h1"/>
      <w:bookmarkEnd w:id="0"/>
      <w:r>
        <w:rPr>
          <w:noProof/>
        </w:rPr>
        <mc:AlternateContent>
          <mc:Choice Requires="wps">
            <w:drawing>
              <wp:anchor distT="0" distB="0" distL="114300" distR="114300" simplePos="0" relativeHeight="251653632" behindDoc="0" locked="0" layoutInCell="0" allowOverlap="0" wp14:anchorId="56C4C352" wp14:editId="3FF1CB72">
                <wp:simplePos x="0" y="0"/>
                <wp:positionH relativeFrom="column">
                  <wp:posOffset>5524500</wp:posOffset>
                </wp:positionH>
                <wp:positionV relativeFrom="paragraph">
                  <wp:posOffset>38100</wp:posOffset>
                </wp:positionV>
                <wp:extent cx="1016000" cy="148590"/>
                <wp:effectExtent l="0" t="0" r="3175" b="0"/>
                <wp:wrapNone/>
                <wp:docPr id="52744810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C88A5" w14:textId="77777777" w:rsidR="00822F07" w:rsidRDefault="00000000">
                            <w:pPr>
                              <w:spacing w:after="0" w:line="250" w:lineRule="auto"/>
                            </w:pPr>
                            <w:r>
                              <w:rPr>
                                <w:rFonts w:cs="Miriam" w:hint="cs"/>
                                <w:rtl/>
                              </w:rPr>
                              <w:t>הגדרות</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6C4C352" id="Rectangle 10" o:spid="_x0000_s1026" style="position:absolute;left:0;text-align:left;margin-left:435pt;margin-top:3pt;width:80pt;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" o:allowincell="f" o:allowoverlap="f" filled="f" stroked="f">
                <v:textbox style="mso-fit-shape-to-text:t" inset="0,0,0,0">
                  <w:txbxContent>
                    <w:p w14:paraId="758C88A5" w14:textId="77777777" w:rsidR="00822F07" w:rsidRDefault="00000000">
                      <w:pPr>
                        <w:spacing w:after="0" w:line="250" w:lineRule="auto"/>
                      </w:pPr>
                      <w:r>
                        <w:rPr>
                          <w:rFonts w:cs="Miriam" w:hint="cs"/>
                          <w:rtl/>
                        </w:rPr>
                        <w:t>הגדרות</w:t>
                      </w:r>
                    </w:p>
                  </w:txbxContent>
                </v:textbox>
              </v:rect>
            </w:pict>
          </mc:Fallback>
        </mc:AlternateContent>
      </w:r>
      <w:r w:rsidR="00000000">
        <w:rPr>
          <w:rFonts w:cs="FrankRuehl" w:hint="cs"/>
          <w:szCs w:val="34"/>
          <w:rtl/>
        </w:rPr>
        <w:t>1.</w:t>
      </w:r>
      <w:r w:rsidR="00000000">
        <w:rPr>
          <w:rFonts w:cs="FrankRuehl" w:hint="cs"/>
          <w:szCs w:val="26"/>
          <w:rtl/>
        </w:rPr>
        <w:tab/>
        <w:t>בתקנות אלה –</w:t>
      </w:r>
    </w:p>
    <w:p w14:paraId="6CB16FBE" w14:textId="77777777" w:rsidR="00822F07" w:rsidRDefault="00000000">
      <w:pPr>
        <w:tabs>
          <w:tab w:val="left" w:pos="720"/>
          <w:tab w:val="left" w:pos="1440"/>
          <w:tab w:val="left" w:pos="2160"/>
          <w:tab w:val="left" w:pos="2880"/>
          <w:tab w:val="left" w:pos="3600"/>
        </w:tabs>
        <w:spacing w:before="45" w:after="50" w:line="250" w:lineRule="auto"/>
        <w:ind w:left="720"/>
        <w:jc w:val="both"/>
      </w:pPr>
      <w:r>
        <w:rPr>
          <w:rFonts w:cs="FrankRuehl" w:hint="cs"/>
          <w:szCs w:val="26"/>
          <w:rtl/>
        </w:rPr>
        <w:t>"אריזה מקורית" – חפץ וכל חומר שהוא המשמש את היצרן או היבואן, כעטיפה למוצר שייצר או ייבא ושאינו מהווה חלק בלתי נפרד מהמוצר ואינו חיוני לצורך השימוש במוצר;</w:t>
      </w:r>
    </w:p>
    <w:p w14:paraId="6E18B140" w14:textId="77777777" w:rsidR="00822F07" w:rsidRDefault="00000000">
      <w:pPr>
        <w:tabs>
          <w:tab w:val="left" w:pos="720"/>
          <w:tab w:val="left" w:pos="1440"/>
          <w:tab w:val="left" w:pos="2160"/>
          <w:tab w:val="left" w:pos="2880"/>
          <w:tab w:val="left" w:pos="3600"/>
        </w:tabs>
        <w:spacing w:before="45" w:after="50" w:line="250" w:lineRule="auto"/>
        <w:ind w:left="720"/>
        <w:jc w:val="both"/>
      </w:pPr>
      <w:r>
        <w:rPr>
          <w:rFonts w:cs="FrankRuehl" w:hint="cs"/>
          <w:szCs w:val="26"/>
          <w:rtl/>
        </w:rPr>
        <w:t>"דמי ביטול" – כהגדרתם בסעיף 14ה(ד) לחוק;</w:t>
      </w:r>
    </w:p>
    <w:p w14:paraId="4454CD60" w14:textId="77777777" w:rsidR="00822F07" w:rsidRDefault="00000000">
      <w:pPr>
        <w:tabs>
          <w:tab w:val="left" w:pos="720"/>
          <w:tab w:val="left" w:pos="1440"/>
          <w:tab w:val="left" w:pos="2160"/>
          <w:tab w:val="left" w:pos="2880"/>
          <w:tab w:val="left" w:pos="3600"/>
        </w:tabs>
        <w:spacing w:before="45" w:after="50" w:line="250" w:lineRule="auto"/>
        <w:ind w:left="720"/>
        <w:jc w:val="both"/>
      </w:pPr>
      <w:r>
        <w:rPr>
          <w:rFonts w:cs="FrankRuehl" w:hint="cs"/>
          <w:szCs w:val="26"/>
          <w:rtl/>
        </w:rPr>
        <w:t>"טובין" – טובין שהמחיר ששולם בעדם עולה על 50 שקלים חדשים.</w:t>
      </w:r>
    </w:p>
    <w:p w14:paraId="0457AFB9" w14:textId="7956D1C8" w:rsidR="00822F07" w:rsidRDefault="009D2259">
      <w:pPr>
        <w:tabs>
          <w:tab w:val="left" w:pos="720"/>
          <w:tab w:val="left" w:pos="1440"/>
          <w:tab w:val="left" w:pos="2160"/>
          <w:tab w:val="left" w:pos="2880"/>
          <w:tab w:val="left" w:pos="3600"/>
        </w:tabs>
        <w:spacing w:before="45" w:after="50" w:line="250" w:lineRule="auto"/>
        <w:ind w:left="720" w:hanging="720"/>
        <w:jc w:val="both"/>
      </w:pPr>
      <w:bookmarkStart w:id="1" w:name="h2"/>
      <w:bookmarkEnd w:id="1"/>
      <w:r>
        <w:rPr>
          <w:noProof/>
        </w:rPr>
        <mc:AlternateContent>
          <mc:Choice Requires="wps">
            <w:drawing>
              <wp:anchor distT="0" distB="0" distL="114300" distR="114300" simplePos="0" relativeHeight="251654656" behindDoc="0" locked="0" layoutInCell="0" allowOverlap="0" wp14:anchorId="5585F7B4" wp14:editId="4576CB01">
                <wp:simplePos x="0" y="0"/>
                <wp:positionH relativeFrom="column">
                  <wp:posOffset>5524500</wp:posOffset>
                </wp:positionH>
                <wp:positionV relativeFrom="paragraph">
                  <wp:posOffset>38100</wp:posOffset>
                </wp:positionV>
                <wp:extent cx="1016000" cy="148590"/>
                <wp:effectExtent l="0" t="0" r="3175" b="4445"/>
                <wp:wrapNone/>
                <wp:docPr id="103793429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1070" w14:textId="77777777" w:rsidR="00822F07" w:rsidRDefault="00000000">
                            <w:pPr>
                              <w:spacing w:after="0" w:line="250" w:lineRule="auto"/>
                            </w:pPr>
                            <w:r>
                              <w:rPr>
                                <w:rFonts w:cs="Miriam" w:hint="cs"/>
                                <w:rtl/>
                              </w:rPr>
                              <w:t>ביטול עסקה</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585F7B4" id="Rectangle 9" o:spid="_x0000_s1027" style="position:absolute;left:0;text-align:left;margin-left:435pt;margin-top:3pt;width:80pt;height:1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" o:allowincell="f" o:allowoverlap="f" filled="f" stroked="f">
                <v:textbox style="mso-fit-shape-to-text:t" inset="0,0,0,0">
                  <w:txbxContent>
                    <w:p w14:paraId="13F11070" w14:textId="77777777" w:rsidR="00822F07" w:rsidRDefault="00000000">
                      <w:pPr>
                        <w:spacing w:after="0" w:line="250" w:lineRule="auto"/>
                      </w:pPr>
                      <w:r>
                        <w:rPr>
                          <w:rFonts w:cs="Miriam" w:hint="cs"/>
                          <w:rtl/>
                        </w:rPr>
                        <w:t>ביטול עסקה</w:t>
                      </w:r>
                    </w:p>
                  </w:txbxContent>
                </v:textbox>
              </v:rect>
            </w:pict>
          </mc:Fallback>
        </mc:AlternateContent>
      </w:r>
      <w:r w:rsidR="00000000">
        <w:rPr>
          <w:rFonts w:cs="FrankRuehl" w:hint="cs"/>
          <w:szCs w:val="34"/>
          <w:rtl/>
        </w:rPr>
        <w:t>2.</w:t>
      </w:r>
      <w:r w:rsidR="00000000">
        <w:rPr>
          <w:rFonts w:cs="FrankRuehl" w:hint="cs"/>
          <w:szCs w:val="26"/>
          <w:rtl/>
        </w:rPr>
        <w:tab/>
        <w:t>צרכן רשאי לבטל הסכם בהתאם לפסקאות (1) עד (7) ובלבד שביטול הסכם לרכישת טובין יהיה בתנאי שהצרכן יחזירם לעוסק והטובין לא נפגמו ולא נעשה בהם שימוש בידי הצרכן הרוכש; החזרת הטובין באריזה המקורית תהווה ראיה מספקת לאי-עשיית שימוש בהם –</w:t>
      </w:r>
    </w:p>
    <w:p w14:paraId="32FD0980" w14:textId="77777777" w:rsidR="00822F07" w:rsidRDefault="00000000">
      <w:pPr>
        <w:tabs>
          <w:tab w:val="left" w:pos="720"/>
          <w:tab w:val="left" w:pos="1440"/>
          <w:tab w:val="left" w:pos="2160"/>
          <w:tab w:val="left" w:pos="2880"/>
          <w:tab w:val="left" w:pos="3600"/>
        </w:tabs>
        <w:spacing w:before="45" w:after="50" w:line="250" w:lineRule="auto"/>
        <w:ind w:left="1440" w:hanging="720"/>
        <w:jc w:val="both"/>
      </w:pPr>
      <w:r>
        <w:rPr>
          <w:rFonts w:cs="FrankRuehl" w:hint="cs"/>
          <w:szCs w:val="26"/>
          <w:rtl/>
        </w:rPr>
        <w:t>(1)</w:t>
      </w:r>
      <w:r>
        <w:rPr>
          <w:rFonts w:cs="FrankRuehl" w:hint="cs"/>
          <w:szCs w:val="26"/>
          <w:rtl/>
        </w:rPr>
        <w:tab/>
        <w:t>לרכישת טובין או סוגי טובין כאמור בפרטים 1 עד 6 ו-23 לתוספת – בתוך 14 ימים מיום שקיבל את הטובין; לגבי פרטים 1 עד 3, 6 ו-23 לתוספת, פתיחת האריזה המקורית כשלעצמה לא תיחשב שימוש או פגימה בטובין, אלא אם כן יוכח אחרת; חיבור הטובין לחשמל, גז או מים ייחשב לעניין זה שימוש בטובין;</w:t>
      </w:r>
    </w:p>
    <w:p w14:paraId="30623D4E" w14:textId="77777777" w:rsidR="00822F07" w:rsidRDefault="00000000">
      <w:pPr>
        <w:tabs>
          <w:tab w:val="left" w:pos="720"/>
          <w:tab w:val="left" w:pos="1440"/>
          <w:tab w:val="left" w:pos="2160"/>
          <w:tab w:val="left" w:pos="2880"/>
          <w:tab w:val="left" w:pos="3600"/>
        </w:tabs>
        <w:spacing w:before="45" w:after="50" w:line="250" w:lineRule="auto"/>
        <w:ind w:left="1440" w:hanging="720"/>
        <w:jc w:val="both"/>
      </w:pPr>
      <w:r>
        <w:rPr>
          <w:rFonts w:cs="FrankRuehl" w:hint="cs"/>
          <w:szCs w:val="26"/>
          <w:rtl/>
        </w:rPr>
        <w:t>(2)</w:t>
      </w:r>
      <w:r>
        <w:rPr>
          <w:rFonts w:cs="FrankRuehl" w:hint="cs"/>
          <w:szCs w:val="26"/>
          <w:rtl/>
        </w:rPr>
        <w:tab/>
        <w:t>לרכישת טובין או סוגי טובין כאמור בפרט 7 לתוספת – מיום הרכישה ועד תום שני ימים שלאחריו שאינם ימי מנוחה ובלבד שתווית המחיר על הטובין, אם ישנה, לא הוסרה;</w:t>
      </w:r>
    </w:p>
    <w:p w14:paraId="43D6AFF4" w14:textId="77777777" w:rsidR="00822F07" w:rsidRDefault="00000000">
      <w:pPr>
        <w:tabs>
          <w:tab w:val="left" w:pos="720"/>
          <w:tab w:val="left" w:pos="1440"/>
          <w:tab w:val="left" w:pos="2160"/>
          <w:tab w:val="left" w:pos="2880"/>
          <w:tab w:val="left" w:pos="3600"/>
        </w:tabs>
        <w:spacing w:before="45" w:after="50" w:line="250" w:lineRule="auto"/>
        <w:ind w:left="1440" w:hanging="720"/>
        <w:jc w:val="both"/>
      </w:pPr>
      <w:r>
        <w:rPr>
          <w:rFonts w:cs="FrankRuehl" w:hint="cs"/>
          <w:szCs w:val="26"/>
          <w:rtl/>
        </w:rPr>
        <w:t>(3)</w:t>
      </w:r>
      <w:r>
        <w:rPr>
          <w:rFonts w:cs="FrankRuehl" w:hint="cs"/>
          <w:szCs w:val="26"/>
          <w:rtl/>
        </w:rPr>
        <w:tab/>
        <w:t>לרכישת שירות כאמור בפרט 8 ו-9 לתוספת – בתוך 14 ימים מיום עשיית ההסכם ובלבד שהביטול ייעשה 14 ימים שאינם ימי מנוחה לפחות, קודם למועד תחילת השירות;</w:t>
      </w:r>
    </w:p>
    <w:p w14:paraId="1E28FC95" w14:textId="77777777" w:rsidR="00822F07" w:rsidRDefault="00000000">
      <w:pPr>
        <w:tabs>
          <w:tab w:val="left" w:pos="720"/>
          <w:tab w:val="left" w:pos="1440"/>
          <w:tab w:val="left" w:pos="2160"/>
          <w:tab w:val="left" w:pos="2880"/>
          <w:tab w:val="left" w:pos="3600"/>
        </w:tabs>
        <w:spacing w:before="45" w:after="50" w:line="250" w:lineRule="auto"/>
        <w:ind w:left="1440" w:hanging="720"/>
        <w:jc w:val="both"/>
      </w:pPr>
      <w:r>
        <w:rPr>
          <w:rFonts w:cs="FrankRuehl" w:hint="cs"/>
          <w:szCs w:val="26"/>
          <w:rtl/>
        </w:rPr>
        <w:t>(4)</w:t>
      </w:r>
      <w:r>
        <w:rPr>
          <w:rFonts w:cs="FrankRuehl" w:hint="cs"/>
          <w:szCs w:val="26"/>
          <w:rtl/>
        </w:rPr>
        <w:tab/>
        <w:t>לרכישת שירות כאמור בפרטים 10 עד 19 לתוספת – בתוך 14 ימים מיום עשיית העסקה או מיום מסירת חוזה בכתב או מסמך בכתב כאמור בסעיף 13ג(ג) לחוק, לפי המאוחר, בין אם הוחל במתן השירות ובין אם לא ואף אם העסקה היא לתקופה קצובה;</w:t>
      </w:r>
    </w:p>
    <w:p w14:paraId="256EAAE9" w14:textId="77777777" w:rsidR="00822F07" w:rsidRDefault="00000000">
      <w:pPr>
        <w:tabs>
          <w:tab w:val="left" w:pos="720"/>
          <w:tab w:val="left" w:pos="1440"/>
          <w:tab w:val="left" w:pos="2160"/>
          <w:tab w:val="left" w:pos="2880"/>
          <w:tab w:val="left" w:pos="3600"/>
        </w:tabs>
        <w:spacing w:before="45" w:after="50" w:line="250" w:lineRule="auto"/>
        <w:ind w:left="1440" w:hanging="720"/>
        <w:jc w:val="both"/>
      </w:pPr>
      <w:r>
        <w:rPr>
          <w:rFonts w:cs="FrankRuehl" w:hint="cs"/>
          <w:szCs w:val="26"/>
          <w:rtl/>
        </w:rPr>
        <w:t>(5)</w:t>
      </w:r>
      <w:r>
        <w:rPr>
          <w:rFonts w:cs="FrankRuehl" w:hint="cs"/>
          <w:szCs w:val="26"/>
          <w:rtl/>
        </w:rPr>
        <w:tab/>
        <w:t>לרכישת טובין ושירותים כאמור בפרט 20 לתוספת – לרכישת טובין, בתוך 14 ימים מיום שקיבל את הטובין ולרכישת שירות, בתוך 14 ימים מיום עשיית העסקה או מיום מסירת חוזה בכתב או מסמך בכתב כאמור בסעיף 13ג(ג) לחוק, לפי המאוחר, בין אם הוחל במתן השירות ובין אם לא ואף אם העסקה היא לתקופה קצובה, ואולם בעסקה שאינה עסקה מתמשכת כהגדרתה בסעיף 13ג לחוק, בתוך 14 ימים מיום עשיית העסקה ועד יומיים, שאינם ימי מנוחה, קודם למועד תחילת השירות;</w:t>
      </w:r>
    </w:p>
    <w:p w14:paraId="219F6AC3" w14:textId="77777777" w:rsidR="00822F07" w:rsidRDefault="00000000">
      <w:pPr>
        <w:tabs>
          <w:tab w:val="left" w:pos="720"/>
          <w:tab w:val="left" w:pos="1440"/>
          <w:tab w:val="left" w:pos="2160"/>
          <w:tab w:val="left" w:pos="2880"/>
          <w:tab w:val="left" w:pos="3600"/>
        </w:tabs>
        <w:spacing w:before="45" w:after="50" w:line="250" w:lineRule="auto"/>
        <w:ind w:left="1440" w:hanging="720"/>
        <w:jc w:val="both"/>
      </w:pPr>
      <w:r>
        <w:rPr>
          <w:rFonts w:cs="FrankRuehl" w:hint="cs"/>
          <w:szCs w:val="26"/>
          <w:rtl/>
        </w:rPr>
        <w:t>(6)</w:t>
      </w:r>
      <w:r>
        <w:rPr>
          <w:rFonts w:cs="FrankRuehl" w:hint="cs"/>
          <w:szCs w:val="26"/>
          <w:rtl/>
        </w:rPr>
        <w:tab/>
        <w:t>לרכישת טובין כאמור בפרט 21 – בתוך 14 ימים מיום עשיית העסקה ובלבד שטרם נרשם על שם הצרכן על פי פקודת התעבורה [נוסח חדש] (להלן – פקודת התעבורה);</w:t>
      </w:r>
    </w:p>
    <w:p w14:paraId="7BCF8491" w14:textId="77777777" w:rsidR="00822F07" w:rsidRDefault="00000000">
      <w:pPr>
        <w:tabs>
          <w:tab w:val="left" w:pos="720"/>
          <w:tab w:val="left" w:pos="1440"/>
          <w:tab w:val="left" w:pos="2160"/>
          <w:tab w:val="left" w:pos="2880"/>
          <w:tab w:val="left" w:pos="3600"/>
        </w:tabs>
        <w:spacing w:before="45" w:after="50" w:line="250" w:lineRule="auto"/>
        <w:ind w:left="1440" w:hanging="720"/>
        <w:jc w:val="both"/>
      </w:pPr>
      <w:r>
        <w:rPr>
          <w:rFonts w:cs="FrankRuehl" w:hint="cs"/>
          <w:szCs w:val="26"/>
          <w:rtl/>
        </w:rPr>
        <w:t>(7)</w:t>
      </w:r>
      <w:r>
        <w:rPr>
          <w:rFonts w:cs="FrankRuehl" w:hint="cs"/>
          <w:szCs w:val="26"/>
          <w:rtl/>
        </w:rPr>
        <w:tab/>
        <w:t>לרכישת טובין כאמור בפרט 22 – מיום הרכישה ועד תום יומיים שלאחריו שאינם ימי מנוחה.</w:t>
      </w:r>
    </w:p>
    <w:p w14:paraId="631DA4B0" w14:textId="4D33C718" w:rsidR="00822F07" w:rsidRDefault="009D2259">
      <w:pPr>
        <w:tabs>
          <w:tab w:val="left" w:pos="720"/>
          <w:tab w:val="left" w:pos="1440"/>
          <w:tab w:val="left" w:pos="2160"/>
          <w:tab w:val="left" w:pos="2880"/>
          <w:tab w:val="left" w:pos="3600"/>
        </w:tabs>
        <w:spacing w:before="45" w:after="50" w:line="250" w:lineRule="auto"/>
        <w:ind w:left="1440" w:hanging="1440"/>
        <w:jc w:val="both"/>
      </w:pPr>
      <w:bookmarkStart w:id="2" w:name="h3"/>
      <w:bookmarkEnd w:id="2"/>
      <w:r>
        <w:rPr>
          <w:noProof/>
        </w:rPr>
        <mc:AlternateContent>
          <mc:Choice Requires="wps">
            <w:drawing>
              <wp:anchor distT="0" distB="0" distL="114300" distR="114300" simplePos="0" relativeHeight="251655680" behindDoc="0" locked="0" layoutInCell="0" allowOverlap="0" wp14:anchorId="0F7CA935" wp14:editId="711EFF44">
                <wp:simplePos x="0" y="0"/>
                <wp:positionH relativeFrom="column">
                  <wp:posOffset>5524500</wp:posOffset>
                </wp:positionH>
                <wp:positionV relativeFrom="paragraph">
                  <wp:posOffset>38100</wp:posOffset>
                </wp:positionV>
                <wp:extent cx="1016000" cy="148590"/>
                <wp:effectExtent l="0" t="0" r="3175" b="0"/>
                <wp:wrapNone/>
                <wp:docPr id="192617380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1B5E1" w14:textId="77777777" w:rsidR="00822F07" w:rsidRDefault="00000000">
                            <w:pPr>
                              <w:spacing w:after="0" w:line="250" w:lineRule="auto"/>
                            </w:pPr>
                            <w:r>
                              <w:rPr>
                                <w:rFonts w:cs="Miriam" w:hint="cs"/>
                                <w:rtl/>
                              </w:rPr>
                              <w:t>החזרת התמורה</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F7CA935" id="Rectangle 8" o:spid="_x0000_s1028" style="position:absolute;left:0;text-align:left;margin-left:435pt;margin-top:3pt;width:80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" o:allowincell="f" o:allowoverlap="f" filled="f" stroked="f">
                <v:textbox style="mso-fit-shape-to-text:t" inset="0,0,0,0">
                  <w:txbxContent>
                    <w:p w14:paraId="6951B5E1" w14:textId="77777777" w:rsidR="00822F07" w:rsidRDefault="00000000">
                      <w:pPr>
                        <w:spacing w:after="0" w:line="250" w:lineRule="auto"/>
                      </w:pPr>
                      <w:r>
                        <w:rPr>
                          <w:rFonts w:cs="Miriam" w:hint="cs"/>
                          <w:rtl/>
                        </w:rPr>
                        <w:t>החזרת התמורה</w:t>
                      </w:r>
                    </w:p>
                  </w:txbxContent>
                </v:textbox>
              </v:rect>
            </w:pict>
          </mc:Fallback>
        </mc:AlternateContent>
      </w:r>
      <w:r w:rsidR="00000000">
        <w:rPr>
          <w:rFonts w:cs="FrankRuehl" w:hint="cs"/>
          <w:szCs w:val="34"/>
          <w:rtl/>
        </w:rPr>
        <w:t>3.</w:t>
      </w:r>
      <w:r w:rsidR="00000000">
        <w:rPr>
          <w:rFonts w:cs="FrankRuehl" w:hint="cs"/>
          <w:szCs w:val="34"/>
          <w:rtl/>
        </w:rPr>
        <w:tab/>
      </w:r>
      <w:r w:rsidR="00000000">
        <w:rPr>
          <w:rFonts w:cs="FrankRuehl" w:hint="cs"/>
          <w:szCs w:val="26"/>
          <w:rtl/>
        </w:rPr>
        <w:t>(א)</w:t>
      </w:r>
      <w:r w:rsidR="00000000">
        <w:rPr>
          <w:rFonts w:cs="FrankRuehl" w:hint="cs"/>
          <w:szCs w:val="26"/>
          <w:rtl/>
        </w:rPr>
        <w:tab/>
        <w:t>ביטל הצרכן את הסכם הרכישה, כאמור בתקנה 2, ישיב העוסק לצרכן, בניכוי דמי הביטול כאמור בתקנה 5 ובכפוף לתקנות משנה (ב) עד (ה), את מלוא התמורה ששילם או יבטל את חיובו, ובלבד שהצרכן הציג חשבונית או סרט קופה או פתק החלפה המעידים על עצם ביצוע העסקה עם העוסק או הוכחה אחרת לגבי עצם ביצוע העסקה, מועדה, הסכום ששולם בעדה ואמצעי התשלום.</w:t>
      </w:r>
    </w:p>
    <w:p w14:paraId="0343D114" w14:textId="77777777" w:rsidR="00822F07" w:rsidRDefault="00000000">
      <w:pPr>
        <w:tabs>
          <w:tab w:val="left" w:pos="720"/>
          <w:tab w:val="left" w:pos="1440"/>
          <w:tab w:val="left" w:pos="2160"/>
          <w:tab w:val="left" w:pos="2880"/>
          <w:tab w:val="left" w:pos="3600"/>
        </w:tabs>
        <w:spacing w:before="45" w:after="50" w:line="250" w:lineRule="auto"/>
        <w:ind w:left="1440" w:hanging="720"/>
        <w:jc w:val="both"/>
      </w:pPr>
      <w:r>
        <w:rPr>
          <w:rFonts w:cs="FrankRuehl" w:hint="cs"/>
          <w:szCs w:val="26"/>
          <w:rtl/>
        </w:rPr>
        <w:t>(ב)</w:t>
      </w:r>
      <w:r>
        <w:rPr>
          <w:rFonts w:cs="FrankRuehl" w:hint="cs"/>
          <w:szCs w:val="26"/>
          <w:rtl/>
        </w:rPr>
        <w:tab/>
        <w:t>נדרש הצרכן לרכוש טובין לצורך קבלת שירות, זכאי הצרכן להחזירם לעוסק אף אם נעשה בהם שימוש ובלבד שלא נפגמו והעוסק ישיב לצרכן את כספו.</w:t>
      </w:r>
    </w:p>
    <w:p w14:paraId="5BB89746" w14:textId="77777777" w:rsidR="00822F07" w:rsidRDefault="00000000">
      <w:pPr>
        <w:tabs>
          <w:tab w:val="left" w:pos="720"/>
          <w:tab w:val="left" w:pos="1440"/>
          <w:tab w:val="left" w:pos="2160"/>
          <w:tab w:val="left" w:pos="2880"/>
          <w:tab w:val="left" w:pos="3600"/>
        </w:tabs>
        <w:spacing w:before="45" w:after="50" w:line="250" w:lineRule="auto"/>
        <w:ind w:left="1440" w:hanging="720"/>
        <w:jc w:val="both"/>
      </w:pPr>
      <w:r>
        <w:rPr>
          <w:rFonts w:cs="FrankRuehl" w:hint="cs"/>
          <w:szCs w:val="26"/>
          <w:rtl/>
        </w:rPr>
        <w:t>(ג)</w:t>
      </w:r>
      <w:r>
        <w:rPr>
          <w:rFonts w:cs="FrankRuehl" w:hint="cs"/>
          <w:szCs w:val="26"/>
          <w:rtl/>
        </w:rPr>
        <w:tab/>
        <w:t>בוצעה בבית הצרכן התקנה של טובין המשמש למתן שירות, ישלם הצרכן לעוסק את עלות ההתקנה בסכום שלא יעלה על 100 שקלים חדשים.</w:t>
      </w:r>
    </w:p>
    <w:p w14:paraId="53903C50" w14:textId="77777777" w:rsidR="00822F07" w:rsidRDefault="00000000">
      <w:pPr>
        <w:tabs>
          <w:tab w:val="left" w:pos="720"/>
          <w:tab w:val="left" w:pos="1440"/>
          <w:tab w:val="left" w:pos="2160"/>
          <w:tab w:val="left" w:pos="2880"/>
          <w:tab w:val="left" w:pos="3600"/>
        </w:tabs>
        <w:spacing w:before="45" w:after="50" w:line="250" w:lineRule="auto"/>
        <w:ind w:left="1440" w:hanging="720"/>
        <w:jc w:val="both"/>
      </w:pPr>
      <w:r>
        <w:rPr>
          <w:rFonts w:cs="FrankRuehl" w:hint="cs"/>
          <w:szCs w:val="26"/>
          <w:rtl/>
        </w:rPr>
        <w:lastRenderedPageBreak/>
        <w:t>(ד)</w:t>
      </w:r>
      <w:r>
        <w:rPr>
          <w:rFonts w:cs="FrankRuehl" w:hint="cs"/>
          <w:szCs w:val="26"/>
          <w:rtl/>
        </w:rPr>
        <w:tab/>
        <w:t>ביטל הצרכן עסקה מתמשכת כהגדרתה בסעיף 13ג לחוק, שהוחל בנתינתה, ישלם הצרכן את התמורה היחסית בעבור השימוש שעשה בשירות.</w:t>
      </w:r>
    </w:p>
    <w:p w14:paraId="5F669869" w14:textId="77777777" w:rsidR="00822F07" w:rsidRDefault="00000000">
      <w:pPr>
        <w:tabs>
          <w:tab w:val="left" w:pos="720"/>
          <w:tab w:val="left" w:pos="1440"/>
          <w:tab w:val="left" w:pos="2160"/>
          <w:tab w:val="left" w:pos="2880"/>
          <w:tab w:val="left" w:pos="3600"/>
        </w:tabs>
        <w:spacing w:before="45" w:after="50" w:line="250" w:lineRule="auto"/>
        <w:ind w:left="1440" w:hanging="720"/>
        <w:jc w:val="both"/>
      </w:pPr>
      <w:r>
        <w:rPr>
          <w:rFonts w:cs="FrankRuehl" w:hint="cs"/>
          <w:szCs w:val="26"/>
          <w:rtl/>
        </w:rPr>
        <w:t>(ה)</w:t>
      </w:r>
      <w:r>
        <w:rPr>
          <w:rFonts w:cs="FrankRuehl" w:hint="cs"/>
          <w:szCs w:val="26"/>
          <w:rtl/>
        </w:rPr>
        <w:tab/>
        <w:t>החזרת התמורה תתאפשר אצל העוסק שאצלו נרכש המוצר וכן בכל אחד מסניפי העוסק או בנקודות המכירה של העוסק; הוראות אלה לא יחולו על זכיין של העוסק ובלבד שהזכיין הציג, במקום בולט בעסקו הודעה על כך; בתקנת משנה זו, "זכיין" – בעל זכות שימוש בשם העוסק תוך קיום מערכת עסקית חשבונאית נפרדת.</w:t>
      </w:r>
    </w:p>
    <w:p w14:paraId="7DF1DBB1" w14:textId="151566D2" w:rsidR="00822F07" w:rsidRDefault="009D2259">
      <w:pPr>
        <w:tabs>
          <w:tab w:val="left" w:pos="720"/>
          <w:tab w:val="left" w:pos="1440"/>
          <w:tab w:val="left" w:pos="2160"/>
          <w:tab w:val="left" w:pos="2880"/>
          <w:tab w:val="left" w:pos="3600"/>
        </w:tabs>
        <w:spacing w:before="45" w:after="50" w:line="250" w:lineRule="auto"/>
        <w:ind w:left="1440" w:hanging="1440"/>
        <w:jc w:val="both"/>
      </w:pPr>
      <w:bookmarkStart w:id="3" w:name="h4"/>
      <w:bookmarkEnd w:id="3"/>
      <w:r>
        <w:rPr>
          <w:noProof/>
        </w:rPr>
        <mc:AlternateContent>
          <mc:Choice Requires="wps">
            <w:drawing>
              <wp:anchor distT="0" distB="0" distL="114300" distR="114300" simplePos="0" relativeHeight="251656704" behindDoc="0" locked="0" layoutInCell="0" allowOverlap="0" wp14:anchorId="3C74108C" wp14:editId="14978D53">
                <wp:simplePos x="0" y="0"/>
                <wp:positionH relativeFrom="column">
                  <wp:posOffset>5524500</wp:posOffset>
                </wp:positionH>
                <wp:positionV relativeFrom="paragraph">
                  <wp:posOffset>38100</wp:posOffset>
                </wp:positionV>
                <wp:extent cx="1016000" cy="297180"/>
                <wp:effectExtent l="0" t="3810" r="3175" b="3810"/>
                <wp:wrapNone/>
                <wp:docPr id="8782619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66F5E" w14:textId="77777777" w:rsidR="00822F07" w:rsidRDefault="00000000">
                            <w:pPr>
                              <w:spacing w:after="0" w:line="250" w:lineRule="auto"/>
                            </w:pPr>
                            <w:r>
                              <w:rPr>
                                <w:rFonts w:cs="Miriam" w:hint="cs"/>
                                <w:rtl/>
                              </w:rPr>
                              <w:t>אופן החזרת התמורה</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C74108C" id="Rectangle 7" o:spid="_x0000_s1029" style="position:absolute;left:0;text-align:left;margin-left:435pt;margin-top:3pt;width:80pt;height:2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" o:allowincell="f" o:allowoverlap="f" filled="f" stroked="f">
                <v:textbox style="mso-fit-shape-to-text:t" inset="0,0,0,0">
                  <w:txbxContent>
                    <w:p w14:paraId="78666F5E" w14:textId="77777777" w:rsidR="00822F07" w:rsidRDefault="00000000">
                      <w:pPr>
                        <w:spacing w:after="0" w:line="250" w:lineRule="auto"/>
                      </w:pPr>
                      <w:r>
                        <w:rPr>
                          <w:rFonts w:cs="Miriam" w:hint="cs"/>
                          <w:rtl/>
                        </w:rPr>
                        <w:t>אופן החזרת התמורה</w:t>
                      </w:r>
                    </w:p>
                  </w:txbxContent>
                </v:textbox>
              </v:rect>
            </w:pict>
          </mc:Fallback>
        </mc:AlternateContent>
      </w:r>
      <w:r w:rsidR="00000000">
        <w:rPr>
          <w:rFonts w:cs="FrankRuehl" w:hint="cs"/>
          <w:szCs w:val="34"/>
          <w:rtl/>
        </w:rPr>
        <w:t>4.</w:t>
      </w:r>
      <w:r w:rsidR="00000000">
        <w:rPr>
          <w:rFonts w:cs="FrankRuehl" w:hint="cs"/>
          <w:szCs w:val="34"/>
          <w:rtl/>
        </w:rPr>
        <w:tab/>
      </w:r>
      <w:r w:rsidR="00000000">
        <w:rPr>
          <w:rFonts w:cs="FrankRuehl" w:hint="cs"/>
          <w:szCs w:val="26"/>
          <w:rtl/>
        </w:rPr>
        <w:t>(א)</w:t>
      </w:r>
      <w:r w:rsidR="00000000">
        <w:rPr>
          <w:rFonts w:cs="FrankRuehl" w:hint="cs"/>
          <w:szCs w:val="26"/>
          <w:rtl/>
        </w:rPr>
        <w:tab/>
        <w:t>החזרת התמורה, כאמור בתקנה 3, תהיה במועד ביטול העסקה, ככל שניתן או במועד הקרוב ביותר לכך ולא מאוחר משבעה ימי עסקים ותיעשה באותו אופן שנעשה בו התשלום; היה התשלום במזומן החזרת התמורה תהיה במזומן או בשיק מזומן; היה התשלום בשיק – אם נפרע השיק, החזרת התמורה תהיה במזומן או בשיק מזומן בתוך חמישה ימי עסקים, ואם לא נפרע, החזרת התמורה כאמור תהיה בתוך חמישה ימים מהמועד שנפרע; היה התשלום בכרטיס אשראי, יבטל העוסק את החיוב ואם זוכה חשבונו של העוסק ישיב העוסק לצרכן את הסכום שזוכה בו במזומן או בשיק מזומן או יודיע לחברת כרטיסי האשראי של הצרכן על ביטול העסקה וחברת כרטיסי האשראי תזכה את כרטיס האשראי של הצרכן מיידית בסכום החיוב ובלבד שהיה באפשרותה של חברת כרטיסי האשראי להיפרע מהעוסק בשל העסקה שבוטלה; ואולם לא היה ניתן לזכות את כרטיס האשראי של הצרכן כאמור, ישיב העוסק לצרכן את התמורה במזומן או בשיק מזומן.</w:t>
      </w:r>
    </w:p>
    <w:p w14:paraId="4286168D" w14:textId="77777777" w:rsidR="00822F07" w:rsidRDefault="00000000">
      <w:pPr>
        <w:tabs>
          <w:tab w:val="left" w:pos="720"/>
          <w:tab w:val="left" w:pos="1440"/>
          <w:tab w:val="left" w:pos="2160"/>
          <w:tab w:val="left" w:pos="2880"/>
          <w:tab w:val="left" w:pos="3600"/>
        </w:tabs>
        <w:spacing w:before="45" w:after="50" w:line="250" w:lineRule="auto"/>
        <w:ind w:left="1440" w:hanging="720"/>
        <w:jc w:val="both"/>
      </w:pPr>
      <w:r>
        <w:rPr>
          <w:rFonts w:cs="FrankRuehl" w:hint="cs"/>
          <w:szCs w:val="26"/>
          <w:rtl/>
        </w:rPr>
        <w:t>(ב)</w:t>
      </w:r>
      <w:r>
        <w:rPr>
          <w:rFonts w:cs="FrankRuehl" w:hint="cs"/>
          <w:szCs w:val="26"/>
          <w:rtl/>
        </w:rPr>
        <w:tab/>
        <w:t>על אף האמור בתקנת משנה (א), החזרת התמורה, כאמור בתקנה 3 של עסקה מתמשכת תהיה בכפוף לסעיף 13ד לחוק; נעשתה העסקה בכרטיס אשראי, יבטל העוסק את החיוב ואם זוכה חשבונו של העוסק, יודיע העוסק לחברת כרטיסי האשראי של הצרכן על ביטול העסקה וחברת כרטיסי האשראי תזכה את כרטיס האשראי של הצרכן בסכום החיוב, במועד החיוב העוקב להודעת הביטול כאמור ובלבד שהיה באפשרותה של חברת כרטיסי האשראי להיפרע מהעוסק בשל העסקה שבוטלה; ואולם לא היה ניתן לזכות את כרטיס האשראי של הצרכן כאמור, ישיב העוסק לצרכן את התמורה במזומן או בשיק מזומן; נעשתה העסקה באמצעות הרשאה לחיוב חשבון וחויב חשבון הצרכן, יזכה העוסק את חשבון הצרכן בסכום החיוב.</w:t>
      </w:r>
    </w:p>
    <w:p w14:paraId="2D1C05CD" w14:textId="574B525F" w:rsidR="00822F07" w:rsidRDefault="009D2259">
      <w:pPr>
        <w:tabs>
          <w:tab w:val="left" w:pos="720"/>
          <w:tab w:val="left" w:pos="1440"/>
          <w:tab w:val="left" w:pos="2160"/>
          <w:tab w:val="left" w:pos="2880"/>
          <w:tab w:val="left" w:pos="3600"/>
        </w:tabs>
        <w:spacing w:before="45" w:after="50" w:line="250" w:lineRule="auto"/>
        <w:ind w:left="1440" w:hanging="1440"/>
        <w:jc w:val="both"/>
      </w:pPr>
      <w:bookmarkStart w:id="4" w:name="h5"/>
      <w:bookmarkEnd w:id="4"/>
      <w:r>
        <w:rPr>
          <w:noProof/>
        </w:rPr>
        <mc:AlternateContent>
          <mc:Choice Requires="wps">
            <w:drawing>
              <wp:anchor distT="0" distB="0" distL="114300" distR="114300" simplePos="0" relativeHeight="251657728" behindDoc="0" locked="0" layoutInCell="0" allowOverlap="0" wp14:anchorId="4BABB0D6" wp14:editId="57F118A5">
                <wp:simplePos x="0" y="0"/>
                <wp:positionH relativeFrom="column">
                  <wp:posOffset>5524500</wp:posOffset>
                </wp:positionH>
                <wp:positionV relativeFrom="paragraph">
                  <wp:posOffset>38100</wp:posOffset>
                </wp:positionV>
                <wp:extent cx="1016000" cy="148590"/>
                <wp:effectExtent l="0" t="0" r="3175" b="0"/>
                <wp:wrapNone/>
                <wp:docPr id="22642700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1037A" w14:textId="77777777" w:rsidR="00822F07" w:rsidRDefault="00000000">
                            <w:pPr>
                              <w:spacing w:after="0" w:line="250" w:lineRule="auto"/>
                            </w:pPr>
                            <w:r>
                              <w:rPr>
                                <w:rFonts w:cs="Miriam" w:hint="cs"/>
                                <w:rtl/>
                              </w:rPr>
                              <w:t>דמי ביטול</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BABB0D6" id="Rectangle 6" o:spid="_x0000_s1030" style="position:absolute;left:0;text-align:left;margin-left:435pt;margin-top:3pt;width:80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" o:allowincell="f" o:allowoverlap="f" filled="f" stroked="f">
                <v:textbox style="mso-fit-shape-to-text:t" inset="0,0,0,0">
                  <w:txbxContent>
                    <w:p w14:paraId="7131037A" w14:textId="77777777" w:rsidR="00822F07" w:rsidRDefault="00000000">
                      <w:pPr>
                        <w:spacing w:after="0" w:line="250" w:lineRule="auto"/>
                      </w:pPr>
                      <w:r>
                        <w:rPr>
                          <w:rFonts w:cs="Miriam" w:hint="cs"/>
                          <w:rtl/>
                        </w:rPr>
                        <w:t>דמי ביטול</w:t>
                      </w:r>
                    </w:p>
                  </w:txbxContent>
                </v:textbox>
              </v:rect>
            </w:pict>
          </mc:Fallback>
        </mc:AlternateContent>
      </w:r>
      <w:r w:rsidR="00000000">
        <w:rPr>
          <w:rFonts w:cs="FrankRuehl" w:hint="cs"/>
          <w:szCs w:val="34"/>
          <w:rtl/>
        </w:rPr>
        <w:t>5.</w:t>
      </w:r>
      <w:r w:rsidR="00000000">
        <w:rPr>
          <w:rFonts w:cs="FrankRuehl" w:hint="cs"/>
          <w:szCs w:val="34"/>
          <w:rtl/>
        </w:rPr>
        <w:tab/>
      </w:r>
      <w:r w:rsidR="00000000">
        <w:rPr>
          <w:rFonts w:cs="FrankRuehl" w:hint="cs"/>
          <w:szCs w:val="26"/>
          <w:rtl/>
        </w:rPr>
        <w:t>(א)</w:t>
      </w:r>
      <w:r w:rsidR="00000000">
        <w:rPr>
          <w:rFonts w:cs="FrankRuehl" w:hint="cs"/>
          <w:szCs w:val="26"/>
          <w:rtl/>
        </w:rPr>
        <w:tab/>
        <w:t>ביטל הצרכן את הסכם הרכישה, כאמור בתקנה 2, רשאי העוסק לגבות מהצרכן דמי ביטול בשיעור של 5% ממחיר הטובין או מערך השירות או 100 שקלים חדשים לפי הנמוך מביניהם.</w:t>
      </w:r>
    </w:p>
    <w:p w14:paraId="27175680" w14:textId="77777777" w:rsidR="00822F07" w:rsidRDefault="00000000">
      <w:pPr>
        <w:tabs>
          <w:tab w:val="left" w:pos="720"/>
          <w:tab w:val="left" w:pos="1440"/>
          <w:tab w:val="left" w:pos="2160"/>
          <w:tab w:val="left" w:pos="2880"/>
          <w:tab w:val="left" w:pos="3600"/>
        </w:tabs>
        <w:spacing w:before="45" w:after="50" w:line="250" w:lineRule="auto"/>
        <w:ind w:left="1440" w:hanging="720"/>
        <w:jc w:val="both"/>
      </w:pPr>
      <w:r>
        <w:rPr>
          <w:rFonts w:cs="FrankRuehl" w:hint="cs"/>
          <w:szCs w:val="26"/>
          <w:rtl/>
        </w:rPr>
        <w:t>(ב)</w:t>
      </w:r>
      <w:r>
        <w:rPr>
          <w:rFonts w:cs="FrankRuehl" w:hint="cs"/>
          <w:szCs w:val="26"/>
          <w:rtl/>
        </w:rPr>
        <w:tab/>
        <w:t>נעשתה העסקה בכרטיס אשראי והוכיח העוסק לצרכן כי חברת כרטיסי האשראי או גוף אחר שעמו התקשר העוסק לביצוע סליקת כרטיסי אשראי, גבו ממנו תשלום בעד סליקת כרטיס האשראי בעסקה שבוטלה, רשאי העוסק לחייב את הצרכן גם בתשלום שנגבה ממנו.</w:t>
      </w:r>
    </w:p>
    <w:p w14:paraId="455E3BD9" w14:textId="45C87E1C" w:rsidR="00822F07" w:rsidRDefault="009D2259">
      <w:pPr>
        <w:tabs>
          <w:tab w:val="left" w:pos="720"/>
          <w:tab w:val="left" w:pos="1440"/>
          <w:tab w:val="left" w:pos="2160"/>
          <w:tab w:val="left" w:pos="2880"/>
          <w:tab w:val="left" w:pos="3600"/>
        </w:tabs>
        <w:spacing w:before="45" w:after="50" w:line="250" w:lineRule="auto"/>
        <w:ind w:left="1440" w:hanging="1440"/>
        <w:jc w:val="both"/>
      </w:pPr>
      <w:bookmarkStart w:id="5" w:name="h6"/>
      <w:bookmarkEnd w:id="5"/>
      <w:r>
        <w:rPr>
          <w:noProof/>
        </w:rPr>
        <mc:AlternateContent>
          <mc:Choice Requires="wps">
            <w:drawing>
              <wp:anchor distT="0" distB="0" distL="114300" distR="114300" simplePos="0" relativeHeight="251658752" behindDoc="0" locked="0" layoutInCell="0" allowOverlap="0" wp14:anchorId="14ABE3C0" wp14:editId="399FE2B1">
                <wp:simplePos x="0" y="0"/>
                <wp:positionH relativeFrom="column">
                  <wp:posOffset>5524500</wp:posOffset>
                </wp:positionH>
                <wp:positionV relativeFrom="paragraph">
                  <wp:posOffset>38100</wp:posOffset>
                </wp:positionV>
                <wp:extent cx="1016000" cy="297180"/>
                <wp:effectExtent l="0" t="3810" r="3175" b="3810"/>
                <wp:wrapNone/>
                <wp:docPr id="61875066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22B41" w14:textId="77777777" w:rsidR="00822F07" w:rsidRDefault="00000000">
                            <w:pPr>
                              <w:spacing w:after="0" w:line="250" w:lineRule="auto"/>
                            </w:pPr>
                            <w:r>
                              <w:rPr>
                                <w:rFonts w:cs="Miriam" w:hint="cs"/>
                                <w:rtl/>
                              </w:rPr>
                              <w:t>הגבלת זכות הביטול</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4ABE3C0" id="Rectangle 5" o:spid="_x0000_s1031" style="position:absolute;left:0;text-align:left;margin-left:435pt;margin-top:3pt;width:80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" o:allowincell="f" o:allowoverlap="f" filled="f" stroked="f">
                <v:textbox style="mso-fit-shape-to-text:t" inset="0,0,0,0">
                  <w:txbxContent>
                    <w:p w14:paraId="62F22B41" w14:textId="77777777" w:rsidR="00822F07" w:rsidRDefault="00000000">
                      <w:pPr>
                        <w:spacing w:after="0" w:line="250" w:lineRule="auto"/>
                      </w:pPr>
                      <w:r>
                        <w:rPr>
                          <w:rFonts w:cs="Miriam" w:hint="cs"/>
                          <w:rtl/>
                        </w:rPr>
                        <w:t>הגבלת זכות הביטול</w:t>
                      </w:r>
                    </w:p>
                  </w:txbxContent>
                </v:textbox>
              </v:rect>
            </w:pict>
          </mc:Fallback>
        </mc:AlternateContent>
      </w:r>
      <w:r w:rsidR="00000000">
        <w:rPr>
          <w:rFonts w:cs="FrankRuehl" w:hint="cs"/>
          <w:szCs w:val="34"/>
          <w:rtl/>
        </w:rPr>
        <w:t>6.</w:t>
      </w:r>
      <w:r w:rsidR="00000000">
        <w:rPr>
          <w:rFonts w:cs="FrankRuehl" w:hint="cs"/>
          <w:szCs w:val="34"/>
          <w:rtl/>
        </w:rPr>
        <w:tab/>
      </w:r>
      <w:r w:rsidR="00000000">
        <w:rPr>
          <w:rFonts w:cs="FrankRuehl" w:hint="cs"/>
          <w:szCs w:val="26"/>
          <w:rtl/>
        </w:rPr>
        <w:t>(א)</w:t>
      </w:r>
      <w:r w:rsidR="00000000">
        <w:rPr>
          <w:rFonts w:cs="FrankRuehl" w:hint="cs"/>
          <w:szCs w:val="26"/>
          <w:rtl/>
        </w:rPr>
        <w:tab/>
        <w:t>זכות הביטול כאמור בתקנות אלה לא תחול לגבי –</w:t>
      </w:r>
    </w:p>
    <w:p w14:paraId="4B2ADB62" w14:textId="77777777" w:rsidR="00822F07" w:rsidRDefault="00000000">
      <w:pPr>
        <w:tabs>
          <w:tab w:val="left" w:pos="720"/>
          <w:tab w:val="left" w:pos="1440"/>
          <w:tab w:val="left" w:pos="2160"/>
          <w:tab w:val="left" w:pos="2880"/>
          <w:tab w:val="left" w:pos="3600"/>
        </w:tabs>
        <w:spacing w:before="45" w:after="50" w:line="250" w:lineRule="auto"/>
        <w:ind w:left="2160" w:hanging="720"/>
        <w:jc w:val="both"/>
      </w:pPr>
      <w:r>
        <w:rPr>
          <w:rFonts w:cs="FrankRuehl" w:hint="cs"/>
          <w:szCs w:val="26"/>
          <w:rtl/>
        </w:rPr>
        <w:t>(1)</w:t>
      </w:r>
      <w:r>
        <w:rPr>
          <w:rFonts w:cs="FrankRuehl" w:hint="cs"/>
          <w:szCs w:val="26"/>
          <w:rtl/>
        </w:rPr>
        <w:tab/>
        <w:t>ריהוט שהורכב בבית הצרכן;</w:t>
      </w:r>
    </w:p>
    <w:p w14:paraId="462F197D" w14:textId="77777777" w:rsidR="00822F07" w:rsidRDefault="00000000">
      <w:pPr>
        <w:tabs>
          <w:tab w:val="left" w:pos="720"/>
          <w:tab w:val="left" w:pos="1440"/>
          <w:tab w:val="left" w:pos="2160"/>
          <w:tab w:val="left" w:pos="2880"/>
          <w:tab w:val="left" w:pos="3600"/>
        </w:tabs>
        <w:spacing w:before="45" w:after="50" w:line="250" w:lineRule="auto"/>
        <w:ind w:left="2160" w:hanging="720"/>
        <w:jc w:val="both"/>
      </w:pPr>
      <w:r>
        <w:rPr>
          <w:rFonts w:cs="FrankRuehl" w:hint="cs"/>
          <w:szCs w:val="26"/>
          <w:rtl/>
        </w:rPr>
        <w:t>(2)</w:t>
      </w:r>
      <w:r>
        <w:rPr>
          <w:rFonts w:cs="FrankRuehl" w:hint="cs"/>
          <w:szCs w:val="26"/>
          <w:rtl/>
        </w:rPr>
        <w:tab/>
        <w:t>טובין שיוצרו במיוחד בעבור הצרכן על פי מידות או דרישות מיוחדות;</w:t>
      </w:r>
    </w:p>
    <w:p w14:paraId="17F1B6EA" w14:textId="77777777" w:rsidR="00822F07" w:rsidRDefault="00000000">
      <w:pPr>
        <w:tabs>
          <w:tab w:val="left" w:pos="720"/>
          <w:tab w:val="left" w:pos="1440"/>
          <w:tab w:val="left" w:pos="2160"/>
          <w:tab w:val="left" w:pos="2880"/>
          <w:tab w:val="left" w:pos="3600"/>
        </w:tabs>
        <w:spacing w:before="45" w:after="50" w:line="250" w:lineRule="auto"/>
        <w:ind w:left="2160" w:hanging="720"/>
        <w:jc w:val="both"/>
      </w:pPr>
      <w:r>
        <w:rPr>
          <w:rFonts w:cs="FrankRuehl" w:hint="cs"/>
          <w:szCs w:val="26"/>
          <w:rtl/>
        </w:rPr>
        <w:t>(3)</w:t>
      </w:r>
      <w:r>
        <w:rPr>
          <w:rFonts w:cs="FrankRuehl" w:hint="cs"/>
          <w:szCs w:val="26"/>
          <w:rtl/>
        </w:rPr>
        <w:tab/>
        <w:t>טובין שעל פי דין אין להחזירם;</w:t>
      </w:r>
    </w:p>
    <w:p w14:paraId="2F02F511" w14:textId="77777777" w:rsidR="00822F07" w:rsidRDefault="00000000">
      <w:pPr>
        <w:tabs>
          <w:tab w:val="left" w:pos="720"/>
          <w:tab w:val="left" w:pos="1440"/>
          <w:tab w:val="left" w:pos="2160"/>
          <w:tab w:val="left" w:pos="2880"/>
          <w:tab w:val="left" w:pos="3600"/>
        </w:tabs>
        <w:spacing w:before="45" w:after="50" w:line="250" w:lineRule="auto"/>
        <w:ind w:left="2160" w:hanging="720"/>
        <w:jc w:val="both"/>
      </w:pPr>
      <w:r>
        <w:rPr>
          <w:rFonts w:cs="FrankRuehl" w:hint="cs"/>
          <w:szCs w:val="26"/>
          <w:rtl/>
        </w:rPr>
        <w:t>(4)</w:t>
      </w:r>
      <w:r>
        <w:rPr>
          <w:rFonts w:cs="FrankRuehl" w:hint="cs"/>
          <w:szCs w:val="26"/>
          <w:rtl/>
        </w:rPr>
        <w:tab/>
        <w:t>מוצרי מזון;</w:t>
      </w:r>
    </w:p>
    <w:p w14:paraId="1F8060A6" w14:textId="77777777" w:rsidR="00822F07" w:rsidRDefault="00000000">
      <w:pPr>
        <w:tabs>
          <w:tab w:val="left" w:pos="720"/>
          <w:tab w:val="left" w:pos="1440"/>
          <w:tab w:val="left" w:pos="2160"/>
          <w:tab w:val="left" w:pos="2880"/>
          <w:tab w:val="left" w:pos="3600"/>
        </w:tabs>
        <w:spacing w:before="45" w:after="50" w:line="250" w:lineRule="auto"/>
        <w:ind w:left="2160" w:hanging="720"/>
        <w:jc w:val="both"/>
      </w:pPr>
      <w:r>
        <w:rPr>
          <w:rFonts w:cs="FrankRuehl" w:hint="cs"/>
          <w:szCs w:val="26"/>
          <w:rtl/>
        </w:rPr>
        <w:t>(5)</w:t>
      </w:r>
      <w:r>
        <w:rPr>
          <w:rFonts w:cs="FrankRuehl" w:hint="cs"/>
          <w:szCs w:val="26"/>
          <w:rtl/>
        </w:rPr>
        <w:tab/>
        <w:t>תרופות ותוספי תזונה;</w:t>
      </w:r>
    </w:p>
    <w:p w14:paraId="1B08811F" w14:textId="77777777" w:rsidR="00822F07" w:rsidRDefault="00000000">
      <w:pPr>
        <w:tabs>
          <w:tab w:val="left" w:pos="720"/>
          <w:tab w:val="left" w:pos="1440"/>
          <w:tab w:val="left" w:pos="2160"/>
          <w:tab w:val="left" w:pos="2880"/>
          <w:tab w:val="left" w:pos="3600"/>
        </w:tabs>
        <w:spacing w:before="45" w:after="50" w:line="250" w:lineRule="auto"/>
        <w:ind w:left="2160" w:hanging="720"/>
        <w:jc w:val="both"/>
      </w:pPr>
      <w:r>
        <w:rPr>
          <w:rFonts w:cs="FrankRuehl" w:hint="cs"/>
          <w:szCs w:val="26"/>
          <w:rtl/>
        </w:rPr>
        <w:t>(6)</w:t>
      </w:r>
      <w:r>
        <w:rPr>
          <w:rFonts w:cs="FrankRuehl" w:hint="cs"/>
          <w:szCs w:val="26"/>
          <w:rtl/>
        </w:rPr>
        <w:tab/>
        <w:t>טובין פסידים;</w:t>
      </w:r>
    </w:p>
    <w:p w14:paraId="304E3A4F" w14:textId="77777777" w:rsidR="00822F07" w:rsidRDefault="00000000">
      <w:pPr>
        <w:tabs>
          <w:tab w:val="left" w:pos="720"/>
          <w:tab w:val="left" w:pos="1440"/>
          <w:tab w:val="left" w:pos="2160"/>
          <w:tab w:val="left" w:pos="2880"/>
          <w:tab w:val="left" w:pos="3600"/>
        </w:tabs>
        <w:spacing w:before="45" w:after="50" w:line="250" w:lineRule="auto"/>
        <w:ind w:left="2160" w:hanging="720"/>
        <w:jc w:val="both"/>
      </w:pPr>
      <w:r>
        <w:rPr>
          <w:rFonts w:cs="FrankRuehl" w:hint="cs"/>
          <w:szCs w:val="26"/>
          <w:rtl/>
        </w:rPr>
        <w:t>(7)</w:t>
      </w:r>
      <w:r>
        <w:rPr>
          <w:rFonts w:cs="FrankRuehl" w:hint="cs"/>
          <w:szCs w:val="26"/>
          <w:rtl/>
        </w:rPr>
        <w:tab/>
        <w:t>מידע כהגדרתו בחוק המחשבים, התשנ"ה-1995;</w:t>
      </w:r>
    </w:p>
    <w:p w14:paraId="441FBD71" w14:textId="77777777" w:rsidR="00822F07" w:rsidRDefault="00000000">
      <w:pPr>
        <w:tabs>
          <w:tab w:val="left" w:pos="720"/>
          <w:tab w:val="left" w:pos="1440"/>
          <w:tab w:val="left" w:pos="2160"/>
          <w:tab w:val="left" w:pos="2880"/>
          <w:tab w:val="left" w:pos="3600"/>
        </w:tabs>
        <w:spacing w:before="45" w:after="50" w:line="250" w:lineRule="auto"/>
        <w:ind w:left="2160" w:hanging="720"/>
        <w:jc w:val="both"/>
      </w:pPr>
      <w:r>
        <w:rPr>
          <w:rFonts w:cs="FrankRuehl" w:hint="cs"/>
          <w:szCs w:val="26"/>
          <w:rtl/>
        </w:rPr>
        <w:t>(8)</w:t>
      </w:r>
      <w:r>
        <w:rPr>
          <w:rFonts w:cs="FrankRuehl" w:hint="cs"/>
          <w:szCs w:val="26"/>
          <w:rtl/>
        </w:rPr>
        <w:tab/>
        <w:t>טובין הניתנים להקלטה, לשעתוק או לשכפול, שהצרכן פתח את אריזתם המקורית;</w:t>
      </w:r>
    </w:p>
    <w:p w14:paraId="10B3829A" w14:textId="77777777" w:rsidR="00822F07" w:rsidRDefault="00000000">
      <w:pPr>
        <w:tabs>
          <w:tab w:val="left" w:pos="720"/>
          <w:tab w:val="left" w:pos="1440"/>
          <w:tab w:val="left" w:pos="2160"/>
          <w:tab w:val="left" w:pos="2880"/>
          <w:tab w:val="left" w:pos="3600"/>
        </w:tabs>
        <w:spacing w:before="45" w:after="50" w:line="250" w:lineRule="auto"/>
        <w:ind w:left="2160" w:hanging="720"/>
        <w:jc w:val="both"/>
      </w:pPr>
      <w:r>
        <w:rPr>
          <w:rFonts w:cs="FrankRuehl" w:hint="cs"/>
          <w:szCs w:val="26"/>
          <w:rtl/>
        </w:rPr>
        <w:t>(9)</w:t>
      </w:r>
      <w:r>
        <w:rPr>
          <w:rFonts w:cs="FrankRuehl" w:hint="cs"/>
          <w:szCs w:val="26"/>
          <w:rtl/>
        </w:rPr>
        <w:tab/>
        <w:t>הלבשה תחתונה לרבות בגדי ים;</w:t>
      </w:r>
    </w:p>
    <w:p w14:paraId="51A60CA9" w14:textId="77777777" w:rsidR="00822F07" w:rsidRDefault="00000000">
      <w:pPr>
        <w:tabs>
          <w:tab w:val="left" w:pos="720"/>
          <w:tab w:val="left" w:pos="1440"/>
          <w:tab w:val="left" w:pos="2160"/>
          <w:tab w:val="left" w:pos="2880"/>
          <w:tab w:val="left" w:pos="3600"/>
        </w:tabs>
        <w:spacing w:before="45" w:after="50" w:line="250" w:lineRule="auto"/>
        <w:ind w:left="2160" w:hanging="720"/>
        <w:jc w:val="both"/>
      </w:pPr>
      <w:r>
        <w:rPr>
          <w:rFonts w:cs="FrankRuehl" w:hint="cs"/>
          <w:szCs w:val="26"/>
          <w:rtl/>
        </w:rPr>
        <w:lastRenderedPageBreak/>
        <w:t>(10)</w:t>
      </w:r>
      <w:r>
        <w:rPr>
          <w:rFonts w:cs="FrankRuehl" w:hint="cs"/>
          <w:szCs w:val="26"/>
          <w:rtl/>
        </w:rPr>
        <w:tab/>
        <w:t>גז, כהגדרתו בחוק ההסדרים במשק המדינה (תיקוני חקיקה), התשמ"ט-1989;</w:t>
      </w:r>
    </w:p>
    <w:p w14:paraId="6A408A81" w14:textId="77777777" w:rsidR="00822F07" w:rsidRDefault="00000000">
      <w:pPr>
        <w:tabs>
          <w:tab w:val="left" w:pos="720"/>
          <w:tab w:val="left" w:pos="1440"/>
          <w:tab w:val="left" w:pos="2160"/>
          <w:tab w:val="left" w:pos="2880"/>
          <w:tab w:val="left" w:pos="3600"/>
        </w:tabs>
        <w:spacing w:before="45" w:after="50" w:line="250" w:lineRule="auto"/>
        <w:ind w:left="2160" w:hanging="720"/>
        <w:jc w:val="both"/>
      </w:pPr>
      <w:r>
        <w:rPr>
          <w:rFonts w:cs="FrankRuehl" w:hint="cs"/>
          <w:szCs w:val="26"/>
          <w:rtl/>
        </w:rPr>
        <w:t>(11)</w:t>
      </w:r>
      <w:r>
        <w:rPr>
          <w:rFonts w:cs="FrankRuehl" w:hint="cs"/>
          <w:szCs w:val="26"/>
          <w:rtl/>
        </w:rPr>
        <w:tab/>
        <w:t>תכשיט שהמחיר ששולם בעדו גבוה מ-3,000 שקלים חדשים, למעט שעונים;</w:t>
      </w:r>
    </w:p>
    <w:p w14:paraId="490E7245" w14:textId="77777777" w:rsidR="00822F07" w:rsidRDefault="00000000">
      <w:pPr>
        <w:tabs>
          <w:tab w:val="left" w:pos="720"/>
          <w:tab w:val="left" w:pos="1440"/>
          <w:tab w:val="left" w:pos="2160"/>
          <w:tab w:val="left" w:pos="2880"/>
          <w:tab w:val="left" w:pos="3600"/>
        </w:tabs>
        <w:spacing w:before="45" w:after="50" w:line="250" w:lineRule="auto"/>
        <w:ind w:left="2160" w:hanging="720"/>
        <w:jc w:val="both"/>
      </w:pPr>
      <w:r>
        <w:rPr>
          <w:rFonts w:cs="FrankRuehl" w:hint="cs"/>
          <w:szCs w:val="26"/>
          <w:rtl/>
        </w:rPr>
        <w:t>(12)</w:t>
      </w:r>
      <w:r>
        <w:rPr>
          <w:rFonts w:cs="FrankRuehl" w:hint="cs"/>
          <w:szCs w:val="26"/>
          <w:rtl/>
        </w:rPr>
        <w:tab/>
        <w:t>שירותי הארחה, נסיעה, חופש ובילוי המתבצעים במלואם מחוץ לישראל לרבות –</w:t>
      </w:r>
    </w:p>
    <w:p w14:paraId="4A42A120" w14:textId="77777777" w:rsidR="00822F07" w:rsidRDefault="00000000">
      <w:pPr>
        <w:tabs>
          <w:tab w:val="left" w:pos="720"/>
          <w:tab w:val="left" w:pos="1440"/>
          <w:tab w:val="left" w:pos="2160"/>
          <w:tab w:val="left" w:pos="2880"/>
          <w:tab w:val="left" w:pos="3600"/>
        </w:tabs>
        <w:spacing w:before="45" w:after="50" w:line="250" w:lineRule="auto"/>
        <w:ind w:left="2880" w:hanging="720"/>
        <w:jc w:val="both"/>
      </w:pPr>
      <w:r>
        <w:rPr>
          <w:rFonts w:cs="FrankRuehl" w:hint="cs"/>
          <w:szCs w:val="26"/>
          <w:rtl/>
        </w:rPr>
        <w:t>(א)</w:t>
      </w:r>
      <w:r>
        <w:rPr>
          <w:rFonts w:cs="FrankRuehl" w:hint="cs"/>
          <w:szCs w:val="26"/>
          <w:rtl/>
        </w:rPr>
        <w:tab/>
        <w:t>טיסת המשך לטיסה שיצאה מישראל והניתנת באמצעות חברת תעופה אחרת (להלן – טיסת המשך);</w:t>
      </w:r>
    </w:p>
    <w:p w14:paraId="792C1D37" w14:textId="77777777" w:rsidR="00822F07" w:rsidRDefault="00000000">
      <w:pPr>
        <w:tabs>
          <w:tab w:val="left" w:pos="720"/>
          <w:tab w:val="left" w:pos="1440"/>
          <w:tab w:val="left" w:pos="2160"/>
          <w:tab w:val="left" w:pos="2880"/>
          <w:tab w:val="left" w:pos="3600"/>
        </w:tabs>
        <w:spacing w:before="45" w:after="50" w:line="250" w:lineRule="auto"/>
        <w:ind w:left="2880" w:hanging="720"/>
        <w:jc w:val="both"/>
      </w:pPr>
      <w:r>
        <w:rPr>
          <w:rFonts w:cs="FrankRuehl" w:hint="cs"/>
          <w:szCs w:val="26"/>
          <w:rtl/>
        </w:rPr>
        <w:t>(ב)</w:t>
      </w:r>
      <w:r>
        <w:rPr>
          <w:rFonts w:cs="FrankRuehl" w:hint="cs"/>
          <w:szCs w:val="26"/>
          <w:rtl/>
        </w:rPr>
        <w:tab/>
        <w:t>חבילת נופש מחוץ לישראל, למעט טיסה מישראל ואליה, שאינה טיסת המשך;</w:t>
      </w:r>
    </w:p>
    <w:p w14:paraId="2C69C9F5" w14:textId="77777777" w:rsidR="00822F07" w:rsidRDefault="00000000">
      <w:pPr>
        <w:tabs>
          <w:tab w:val="left" w:pos="720"/>
          <w:tab w:val="left" w:pos="1440"/>
          <w:tab w:val="left" w:pos="2160"/>
          <w:tab w:val="left" w:pos="2880"/>
          <w:tab w:val="left" w:pos="3600"/>
        </w:tabs>
        <w:spacing w:before="45" w:after="50" w:line="250" w:lineRule="auto"/>
        <w:ind w:left="2160"/>
        <w:jc w:val="both"/>
      </w:pPr>
      <w:r>
        <w:rPr>
          <w:rFonts w:cs="FrankRuehl" w:hint="cs"/>
          <w:szCs w:val="26"/>
          <w:rtl/>
        </w:rPr>
        <w:t>ובלבד שהעוסק גילה לצרכן, בטרם ההתקשרות את תנאי ביטול העסקה של נותן השירות מחוץ לישראל; נטל ההוכחה לעניין פסקה זו מוטל על העוסק; בפסקה זו –  "מחוץ לישראל" – למעט האזור כהגדרתו בחוק מס ערך מוסף, התשל"ו-1975;  "נסיעה" – טיסה, שיט, טיול מאורגן וכיוצא באלה ובשיט, למעט הובלת טובין.</w:t>
      </w:r>
    </w:p>
    <w:p w14:paraId="717582F5" w14:textId="77777777" w:rsidR="00822F07" w:rsidRDefault="00000000">
      <w:pPr>
        <w:tabs>
          <w:tab w:val="left" w:pos="720"/>
          <w:tab w:val="left" w:pos="1440"/>
          <w:tab w:val="left" w:pos="2160"/>
          <w:tab w:val="left" w:pos="2880"/>
          <w:tab w:val="left" w:pos="3600"/>
        </w:tabs>
        <w:spacing w:before="45" w:after="50" w:line="250" w:lineRule="auto"/>
        <w:ind w:left="1440" w:hanging="720"/>
        <w:jc w:val="both"/>
      </w:pPr>
      <w:r>
        <w:rPr>
          <w:rFonts w:cs="FrankRuehl" w:hint="cs"/>
          <w:szCs w:val="26"/>
          <w:rtl/>
        </w:rPr>
        <w:t>(ב)</w:t>
      </w:r>
      <w:r>
        <w:rPr>
          <w:rFonts w:cs="FrankRuehl" w:hint="cs"/>
          <w:szCs w:val="26"/>
          <w:rtl/>
        </w:rPr>
        <w:tab/>
        <w:t>ביקש הצרכן כי טובין שהזמין יסופקו לו במועד מאוחר משישה חודשים ממועד העסקה, לא תחול זכות הביטול אם ביקש הצרכן לבטל את העסקה לאחר מועד ההספקה.</w:t>
      </w:r>
    </w:p>
    <w:p w14:paraId="442DF1BB" w14:textId="77777777" w:rsidR="00822F07" w:rsidRDefault="00000000">
      <w:pPr>
        <w:tabs>
          <w:tab w:val="left" w:pos="720"/>
          <w:tab w:val="left" w:pos="1440"/>
          <w:tab w:val="left" w:pos="2160"/>
          <w:tab w:val="left" w:pos="2880"/>
          <w:tab w:val="left" w:pos="3600"/>
        </w:tabs>
        <w:spacing w:before="45" w:after="50" w:line="250" w:lineRule="auto"/>
        <w:ind w:left="1440" w:hanging="720"/>
        <w:jc w:val="both"/>
      </w:pPr>
      <w:r>
        <w:rPr>
          <w:rFonts w:cs="FrankRuehl" w:hint="cs"/>
          <w:szCs w:val="26"/>
          <w:rtl/>
        </w:rPr>
        <w:t>(ג)</w:t>
      </w:r>
      <w:r>
        <w:rPr>
          <w:rFonts w:cs="FrankRuehl" w:hint="cs"/>
          <w:szCs w:val="26"/>
          <w:rtl/>
        </w:rPr>
        <w:tab/>
        <w:t>נעשתה עסקה ושולמה התמורה בידי הצרכן בתווי קנייה, שובר מתנה או כרטיס מגנטי נטען, לא תחול זכות הביטול על עסקה זו.</w:t>
      </w:r>
    </w:p>
    <w:p w14:paraId="319F6F2C" w14:textId="5ABD3C5B" w:rsidR="00822F07" w:rsidRDefault="009D2259">
      <w:pPr>
        <w:tabs>
          <w:tab w:val="left" w:pos="720"/>
          <w:tab w:val="left" w:pos="1440"/>
          <w:tab w:val="left" w:pos="2160"/>
          <w:tab w:val="left" w:pos="2880"/>
          <w:tab w:val="left" w:pos="3600"/>
        </w:tabs>
        <w:spacing w:before="45" w:after="50" w:line="250" w:lineRule="auto"/>
        <w:ind w:left="720" w:hanging="720"/>
        <w:jc w:val="both"/>
      </w:pPr>
      <w:bookmarkStart w:id="6" w:name="h7"/>
      <w:bookmarkEnd w:id="6"/>
      <w:r>
        <w:rPr>
          <w:noProof/>
        </w:rPr>
        <mc:AlternateContent>
          <mc:Choice Requires="wps">
            <w:drawing>
              <wp:anchor distT="0" distB="0" distL="114300" distR="114300" simplePos="0" relativeHeight="251659776" behindDoc="0" locked="0" layoutInCell="0" allowOverlap="0" wp14:anchorId="214D06B5" wp14:editId="4612CFDD">
                <wp:simplePos x="0" y="0"/>
                <wp:positionH relativeFrom="column">
                  <wp:posOffset>5524500</wp:posOffset>
                </wp:positionH>
                <wp:positionV relativeFrom="paragraph">
                  <wp:posOffset>38100</wp:posOffset>
                </wp:positionV>
                <wp:extent cx="1016000" cy="148590"/>
                <wp:effectExtent l="0" t="635" r="3175" b="3175"/>
                <wp:wrapNone/>
                <wp:docPr id="19382346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BE676" w14:textId="77777777" w:rsidR="00822F07" w:rsidRDefault="00000000">
                            <w:pPr>
                              <w:spacing w:after="0" w:line="250" w:lineRule="auto"/>
                            </w:pPr>
                            <w:r>
                              <w:rPr>
                                <w:rFonts w:cs="Miriam" w:hint="cs"/>
                                <w:rtl/>
                              </w:rPr>
                              <w:t>תחילה</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14D06B5" id="Rectangle 4" o:spid="_x0000_s1032" style="position:absolute;left:0;text-align:left;margin-left:435pt;margin-top:3pt;width:80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" o:allowincell="f" o:allowoverlap="f" filled="f" stroked="f">
                <v:textbox style="mso-fit-shape-to-text:t" inset="0,0,0,0">
                  <w:txbxContent>
                    <w:p w14:paraId="5DDBE676" w14:textId="77777777" w:rsidR="00822F07" w:rsidRDefault="00000000">
                      <w:pPr>
                        <w:spacing w:after="0" w:line="250" w:lineRule="auto"/>
                      </w:pPr>
                      <w:r>
                        <w:rPr>
                          <w:rFonts w:cs="Miriam" w:hint="cs"/>
                          <w:rtl/>
                        </w:rPr>
                        <w:t>תחילה</w:t>
                      </w:r>
                    </w:p>
                  </w:txbxContent>
                </v:textbox>
              </v:rect>
            </w:pict>
          </mc:Fallback>
        </mc:AlternateContent>
      </w:r>
      <w:r w:rsidR="00000000">
        <w:rPr>
          <w:rFonts w:cs="FrankRuehl" w:hint="cs"/>
          <w:szCs w:val="34"/>
          <w:rtl/>
        </w:rPr>
        <w:t>7.</w:t>
      </w:r>
      <w:r w:rsidR="00000000">
        <w:rPr>
          <w:rFonts w:cs="FrankRuehl" w:hint="cs"/>
          <w:szCs w:val="26"/>
          <w:rtl/>
        </w:rPr>
        <w:tab/>
        <w:t>תחילתן של תקנות אלה 3 חודשים מיום פרסומן.</w:t>
      </w:r>
    </w:p>
    <w:p w14:paraId="4C78B576" w14:textId="5D4D1998" w:rsidR="00822F07" w:rsidRDefault="009D2259">
      <w:pPr>
        <w:tabs>
          <w:tab w:val="left" w:pos="720"/>
          <w:tab w:val="left" w:pos="1440"/>
          <w:tab w:val="left" w:pos="2160"/>
          <w:tab w:val="left" w:pos="2880"/>
          <w:tab w:val="left" w:pos="3600"/>
        </w:tabs>
        <w:spacing w:before="45" w:after="50" w:line="250" w:lineRule="auto"/>
        <w:ind w:left="1440" w:hanging="1440"/>
        <w:jc w:val="both"/>
      </w:pPr>
      <w:bookmarkStart w:id="7" w:name="h8"/>
      <w:bookmarkEnd w:id="7"/>
      <w:r>
        <w:rPr>
          <w:noProof/>
        </w:rPr>
        <mc:AlternateContent>
          <mc:Choice Requires="wps">
            <w:drawing>
              <wp:anchor distT="0" distB="0" distL="114300" distR="114300" simplePos="0" relativeHeight="251660800" behindDoc="0" locked="0" layoutInCell="0" allowOverlap="0" wp14:anchorId="23070BF2" wp14:editId="00A88D9B">
                <wp:simplePos x="0" y="0"/>
                <wp:positionH relativeFrom="column">
                  <wp:posOffset>5524500</wp:posOffset>
                </wp:positionH>
                <wp:positionV relativeFrom="paragraph">
                  <wp:posOffset>38100</wp:posOffset>
                </wp:positionV>
                <wp:extent cx="1016000" cy="148590"/>
                <wp:effectExtent l="0" t="0" r="3175" b="3810"/>
                <wp:wrapNone/>
                <wp:docPr id="3828599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38F19" w14:textId="77777777" w:rsidR="00822F07" w:rsidRDefault="00000000">
                            <w:pPr>
                              <w:spacing w:after="0" w:line="250" w:lineRule="auto"/>
                            </w:pPr>
                            <w:r>
                              <w:rPr>
                                <w:rFonts w:cs="Miriam" w:hint="cs"/>
                                <w:rtl/>
                              </w:rPr>
                              <w:t>תחולה</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3070BF2" id="Rectangle 3" o:spid="_x0000_s1033" style="position:absolute;left:0;text-align:left;margin-left:435pt;margin-top:3pt;width:80pt;height:1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" o:allowincell="f" o:allowoverlap="f" filled="f" stroked="f">
                <v:textbox style="mso-fit-shape-to-text:t" inset="0,0,0,0">
                  <w:txbxContent>
                    <w:p w14:paraId="24B38F19" w14:textId="77777777" w:rsidR="00822F07" w:rsidRDefault="00000000">
                      <w:pPr>
                        <w:spacing w:after="0" w:line="250" w:lineRule="auto"/>
                      </w:pPr>
                      <w:r>
                        <w:rPr>
                          <w:rFonts w:cs="Miriam" w:hint="cs"/>
                          <w:rtl/>
                        </w:rPr>
                        <w:t>תחולה</w:t>
                      </w:r>
                    </w:p>
                  </w:txbxContent>
                </v:textbox>
              </v:rect>
            </w:pict>
          </mc:Fallback>
        </mc:AlternateContent>
      </w:r>
      <w:r w:rsidR="00000000">
        <w:rPr>
          <w:rFonts w:cs="FrankRuehl" w:hint="cs"/>
          <w:szCs w:val="34"/>
          <w:rtl/>
        </w:rPr>
        <w:t>8.</w:t>
      </w:r>
      <w:r w:rsidR="00000000">
        <w:rPr>
          <w:rFonts w:cs="FrankRuehl" w:hint="cs"/>
          <w:szCs w:val="34"/>
          <w:rtl/>
        </w:rPr>
        <w:tab/>
      </w:r>
      <w:r w:rsidR="00000000">
        <w:rPr>
          <w:rFonts w:cs="FrankRuehl" w:hint="cs"/>
          <w:szCs w:val="26"/>
          <w:rtl/>
        </w:rPr>
        <w:t>(א)</w:t>
      </w:r>
      <w:r w:rsidR="00000000">
        <w:rPr>
          <w:rFonts w:cs="FrankRuehl" w:hint="cs"/>
          <w:szCs w:val="26"/>
          <w:rtl/>
        </w:rPr>
        <w:tab/>
        <w:t>תקנות אלה יחולו גם על טובין ושירותים שניתנו לצרכן במתנה ממי שאינו העוסק (בתקנה זו – המתנה), ובלבד שהצרכן הציג לעוסק פתק החלפה המעיד על עצם ביצוע העסקה עם העוסק או הוכחה אחרת לגבי עצם ביצוע העסקה, מועדה, הסכום ששולם בעדה ואמצעי התשלום.</w:t>
      </w:r>
    </w:p>
    <w:p w14:paraId="4DD65ED6" w14:textId="77777777" w:rsidR="00822F07" w:rsidRDefault="00000000">
      <w:pPr>
        <w:tabs>
          <w:tab w:val="left" w:pos="720"/>
          <w:tab w:val="left" w:pos="1440"/>
          <w:tab w:val="left" w:pos="2160"/>
          <w:tab w:val="left" w:pos="2880"/>
          <w:tab w:val="left" w:pos="3600"/>
        </w:tabs>
        <w:spacing w:before="45" w:after="50" w:line="250" w:lineRule="auto"/>
        <w:ind w:left="1440" w:hanging="720"/>
        <w:jc w:val="both"/>
      </w:pPr>
      <w:r>
        <w:rPr>
          <w:rFonts w:cs="FrankRuehl" w:hint="cs"/>
          <w:szCs w:val="26"/>
          <w:rtl/>
        </w:rPr>
        <w:t>(ב)</w:t>
      </w:r>
      <w:r>
        <w:rPr>
          <w:rFonts w:cs="FrankRuehl" w:hint="cs"/>
          <w:szCs w:val="26"/>
          <w:rtl/>
        </w:rPr>
        <w:tab/>
        <w:t>שולמה המתנה במזומן, תהיה החזרת התמורה במזומן או בשיק מזומן; שולמה המתנה בשיק – אם נפרע השיק, החזרת התמורה כאמור תהיה במזומן או בשיק מזומן בתוך חמישה ימי עסקים ואם לא נפרע, החזרת התמורה תהיה בתוך חמישה ימים מהמועד שנפרע; שולמה המתנה בכרטיס אשראי, החזרת התמורה תהיה במזומן ובלבד שחשבון הצרכן רוכש המתנה, חויב; בתקנה זו "טובין" – לרבות שובר מתנה ולמעט תווי קנייה.</w:t>
      </w:r>
    </w:p>
    <w:p w14:paraId="340111F5" w14:textId="5C5C00D4" w:rsidR="00822F07" w:rsidRDefault="009D2259">
      <w:pPr>
        <w:tabs>
          <w:tab w:val="left" w:pos="720"/>
          <w:tab w:val="left" w:pos="1440"/>
          <w:tab w:val="left" w:pos="2160"/>
          <w:tab w:val="left" w:pos="2880"/>
          <w:tab w:val="left" w:pos="3600"/>
        </w:tabs>
        <w:spacing w:before="45" w:after="50" w:line="250" w:lineRule="auto"/>
        <w:ind w:left="720" w:hanging="720"/>
        <w:jc w:val="both"/>
      </w:pPr>
      <w:bookmarkStart w:id="8" w:name="h9"/>
      <w:bookmarkEnd w:id="8"/>
      <w:r>
        <w:rPr>
          <w:noProof/>
        </w:rPr>
        <mc:AlternateContent>
          <mc:Choice Requires="wps">
            <w:drawing>
              <wp:anchor distT="0" distB="0" distL="114300" distR="114300" simplePos="0" relativeHeight="251661824" behindDoc="0" locked="0" layoutInCell="0" allowOverlap="0" wp14:anchorId="6062139C" wp14:editId="3F69E3FC">
                <wp:simplePos x="0" y="0"/>
                <wp:positionH relativeFrom="column">
                  <wp:posOffset>5524500</wp:posOffset>
                </wp:positionH>
                <wp:positionV relativeFrom="paragraph">
                  <wp:posOffset>38100</wp:posOffset>
                </wp:positionV>
                <wp:extent cx="1016000" cy="148590"/>
                <wp:effectExtent l="0" t="0" r="3175" b="0"/>
                <wp:wrapNone/>
                <wp:docPr id="18000107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967D3" w14:textId="77777777" w:rsidR="00822F07" w:rsidRDefault="00000000">
                            <w:pPr>
                              <w:spacing w:after="0" w:line="250" w:lineRule="auto"/>
                            </w:pPr>
                            <w:r>
                              <w:rPr>
                                <w:rFonts w:cs="Miriam" w:hint="cs"/>
                                <w:rtl/>
                              </w:rPr>
                              <w:t>הוראת שעה</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062139C" id="Rectangle 2" o:spid="_x0000_s1034" style="position:absolute;left:0;text-align:left;margin-left:435pt;margin-top:3pt;width:80pt;height:1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" o:allowincell="f" o:allowoverlap="f" filled="f" stroked="f">
                <v:textbox style="mso-fit-shape-to-text:t" inset="0,0,0,0">
                  <w:txbxContent>
                    <w:p w14:paraId="745967D3" w14:textId="77777777" w:rsidR="00822F07" w:rsidRDefault="00000000">
                      <w:pPr>
                        <w:spacing w:after="0" w:line="250" w:lineRule="auto"/>
                      </w:pPr>
                      <w:r>
                        <w:rPr>
                          <w:rFonts w:cs="Miriam" w:hint="cs"/>
                          <w:rtl/>
                        </w:rPr>
                        <w:t>הוראת שעה</w:t>
                      </w:r>
                    </w:p>
                  </w:txbxContent>
                </v:textbox>
              </v:rect>
            </w:pict>
          </mc:Fallback>
        </mc:AlternateContent>
      </w:r>
      <w:r w:rsidR="00000000">
        <w:rPr>
          <w:rFonts w:cs="FrankRuehl" w:hint="cs"/>
          <w:szCs w:val="34"/>
          <w:rtl/>
        </w:rPr>
        <w:t>9.</w:t>
      </w:r>
      <w:r w:rsidR="00000000">
        <w:rPr>
          <w:rFonts w:cs="FrankRuehl" w:hint="cs"/>
          <w:szCs w:val="26"/>
          <w:rtl/>
        </w:rPr>
        <w:tab/>
        <w:t>בתקופה שעד יום י"ט בטבת התשע"ג (1 בינואר 2013) יראו כאילו על אף האמור בתקנה 2(3), לעניין פרט (8) בתוספת, צרכן רשאי לבטל הסכם לרכישת שירות המנוי בפרט האמור בתוך 14 ימים מיום עשיית ההסכם ובלבד שהביטול ייעשה 18 ימים שאינם ימי מנוחה לפחות, קודם למועד תחילת השירות.</w:t>
      </w:r>
    </w:p>
    <w:p w14:paraId="281AB228" w14:textId="77777777" w:rsidR="00822F07" w:rsidRDefault="00822F07">
      <w:pPr>
        <w:spacing w:before="70" w:after="5" w:line="250" w:lineRule="auto"/>
        <w:jc w:val="center"/>
      </w:pPr>
      <w:bookmarkStart w:id="9" w:name="h10"/>
      <w:bookmarkEnd w:id="9"/>
    </w:p>
    <w:p w14:paraId="23316D51" w14:textId="77777777" w:rsidR="00822F07" w:rsidRDefault="00000000">
      <w:pPr>
        <w:spacing w:before="70" w:after="5" w:line="250" w:lineRule="auto"/>
        <w:jc w:val="center"/>
      </w:pPr>
      <w:r>
        <w:rPr>
          <w:rFonts w:cs="FrankRuehl" w:hint="cs"/>
          <w:b/>
          <w:bCs/>
          <w:szCs w:val="26"/>
          <w:rtl/>
        </w:rPr>
        <w:t>תוספת</w:t>
      </w:r>
    </w:p>
    <w:p w14:paraId="3A3B8C86" w14:textId="77777777" w:rsidR="00822F07" w:rsidRDefault="00000000">
      <w:pPr>
        <w:spacing w:before="45" w:after="5" w:line="250" w:lineRule="auto"/>
        <w:jc w:val="center"/>
      </w:pPr>
      <w:r>
        <w:rPr>
          <w:rFonts w:cs="FrankRuehl" w:hint="cs"/>
          <w:szCs w:val="26"/>
          <w:rtl/>
        </w:rPr>
        <w:t>(תקנה 2)</w:t>
      </w:r>
    </w:p>
    <w:p w14:paraId="198AD131"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10" w:name="h11"/>
      <w:bookmarkEnd w:id="10"/>
      <w:r>
        <w:rPr>
          <w:rFonts w:cs="FrankRuehl" w:hint="cs"/>
          <w:szCs w:val="34"/>
          <w:rtl/>
        </w:rPr>
        <w:t>(1)</w:t>
      </w:r>
      <w:r>
        <w:rPr>
          <w:rFonts w:cs="FrankRuehl" w:hint="cs"/>
          <w:szCs w:val="26"/>
          <w:rtl/>
        </w:rPr>
        <w:tab/>
        <w:t>ריהוט;</w:t>
      </w:r>
    </w:p>
    <w:p w14:paraId="7D87F67A"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11" w:name="h12"/>
      <w:bookmarkEnd w:id="11"/>
      <w:r>
        <w:rPr>
          <w:rFonts w:cs="FrankRuehl" w:hint="cs"/>
          <w:szCs w:val="34"/>
          <w:rtl/>
        </w:rPr>
        <w:t>(2)</w:t>
      </w:r>
      <w:r>
        <w:rPr>
          <w:rFonts w:cs="FrankRuehl" w:hint="cs"/>
          <w:szCs w:val="26"/>
          <w:rtl/>
        </w:rPr>
        <w:tab/>
        <w:t>ציוד לבית ולגן, למעט כלי אוכל לא ארוזים;</w:t>
      </w:r>
    </w:p>
    <w:p w14:paraId="64079091"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12" w:name="h13"/>
      <w:bookmarkEnd w:id="12"/>
      <w:r>
        <w:rPr>
          <w:rFonts w:cs="FrankRuehl" w:hint="cs"/>
          <w:szCs w:val="34"/>
          <w:rtl/>
        </w:rPr>
        <w:t>(3)</w:t>
      </w:r>
      <w:r>
        <w:rPr>
          <w:rFonts w:cs="FrankRuehl" w:hint="cs"/>
          <w:szCs w:val="26"/>
          <w:rtl/>
        </w:rPr>
        <w:tab/>
        <w:t>מכשיר חשמלי ומכשיר אלקטרוני לרבות ציוד קצה כהגדרתו בחוק התקשורת (בזק ושידורים), התשמ"ב-1982 (להלן – חוק התקשורת);</w:t>
      </w:r>
    </w:p>
    <w:p w14:paraId="1141FA66"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13" w:name="h14"/>
      <w:bookmarkEnd w:id="13"/>
      <w:r>
        <w:rPr>
          <w:rFonts w:cs="FrankRuehl" w:hint="cs"/>
          <w:szCs w:val="34"/>
          <w:rtl/>
        </w:rPr>
        <w:t>(4)</w:t>
      </w:r>
      <w:r>
        <w:rPr>
          <w:rFonts w:cs="FrankRuehl" w:hint="cs"/>
          <w:szCs w:val="26"/>
          <w:rtl/>
        </w:rPr>
        <w:tab/>
        <w:t>טובין, הארוז באריזתו המקורית ובלבד שאריזתו לא נפתחה על ידי הצרכן;</w:t>
      </w:r>
    </w:p>
    <w:p w14:paraId="2B2FC7DD"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14" w:name="h15"/>
      <w:bookmarkEnd w:id="14"/>
      <w:r>
        <w:rPr>
          <w:rFonts w:cs="FrankRuehl" w:hint="cs"/>
          <w:szCs w:val="34"/>
          <w:rtl/>
        </w:rPr>
        <w:t>(5)</w:t>
      </w:r>
      <w:r>
        <w:rPr>
          <w:rFonts w:cs="FrankRuehl" w:hint="cs"/>
          <w:szCs w:val="26"/>
          <w:rtl/>
        </w:rPr>
        <w:tab/>
        <w:t>טובין שהזמין הצרכן וטרם סופק לו, אף אם בגלל שאזל מהמלאי ויש צורך לייצרו או להזמינו ובלבד שהייצור או ההזמנה אינם לפי מידות או דרישות מיוחדות של הצרכן;</w:t>
      </w:r>
    </w:p>
    <w:p w14:paraId="63133496"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15" w:name="h16"/>
      <w:bookmarkEnd w:id="15"/>
      <w:r>
        <w:rPr>
          <w:rFonts w:cs="FrankRuehl" w:hint="cs"/>
          <w:szCs w:val="34"/>
          <w:rtl/>
        </w:rPr>
        <w:lastRenderedPageBreak/>
        <w:t>(6)</w:t>
      </w:r>
      <w:r>
        <w:rPr>
          <w:rFonts w:cs="FrankRuehl" w:hint="cs"/>
          <w:szCs w:val="26"/>
          <w:rtl/>
        </w:rPr>
        <w:tab/>
        <w:t>מטהר מים ומיתקן למים מינרליים;</w:t>
      </w:r>
    </w:p>
    <w:p w14:paraId="72D54D62"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16" w:name="h17"/>
      <w:bookmarkEnd w:id="16"/>
      <w:r>
        <w:rPr>
          <w:rFonts w:cs="FrankRuehl" w:hint="cs"/>
          <w:szCs w:val="34"/>
          <w:rtl/>
        </w:rPr>
        <w:t>(7)</w:t>
      </w:r>
      <w:r>
        <w:rPr>
          <w:rFonts w:cs="FrankRuehl" w:hint="cs"/>
          <w:szCs w:val="26"/>
          <w:rtl/>
        </w:rPr>
        <w:tab/>
        <w:t>ביגוד והנעלה;</w:t>
      </w:r>
    </w:p>
    <w:p w14:paraId="7C06A235"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17" w:name="h18"/>
      <w:bookmarkEnd w:id="17"/>
      <w:r>
        <w:rPr>
          <w:rFonts w:cs="FrankRuehl" w:hint="cs"/>
          <w:szCs w:val="34"/>
          <w:rtl/>
        </w:rPr>
        <w:t>(8)</w:t>
      </w:r>
      <w:r>
        <w:rPr>
          <w:rFonts w:cs="FrankRuehl" w:hint="cs"/>
          <w:szCs w:val="26"/>
          <w:rtl/>
        </w:rPr>
        <w:tab/>
        <w:t>שירותי הארחה, נסיעה, חופש ובילוי למעט אם הם מתבצעים במלואם מחוץ לישראל כאמור בתקנה 6(א)(12); בפסקה זו, "מחוץ לישראל" ו"נסיעה" – כהגדרתם בתקנה 6(א)﻿(12);</w:t>
      </w:r>
    </w:p>
    <w:p w14:paraId="2589C3F7"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18" w:name="h19"/>
      <w:bookmarkEnd w:id="18"/>
      <w:r>
        <w:rPr>
          <w:rFonts w:cs="FrankRuehl" w:hint="cs"/>
          <w:szCs w:val="34"/>
          <w:rtl/>
        </w:rPr>
        <w:t>(9)</w:t>
      </w:r>
      <w:r>
        <w:rPr>
          <w:rFonts w:cs="FrankRuehl" w:hint="cs"/>
          <w:szCs w:val="26"/>
          <w:rtl/>
        </w:rPr>
        <w:tab/>
        <w:t>חוגים וקורסים למעט קורס כהגדרתו בחוק הפיקוח על מכונים פסיכומטריים, התשס"ט-2008;</w:t>
      </w:r>
    </w:p>
    <w:p w14:paraId="312FA62F"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19" w:name="h20"/>
      <w:bookmarkEnd w:id="19"/>
      <w:r>
        <w:rPr>
          <w:rFonts w:cs="FrankRuehl" w:hint="cs"/>
          <w:szCs w:val="34"/>
          <w:rtl/>
        </w:rPr>
        <w:t>(10)</w:t>
      </w:r>
      <w:r>
        <w:rPr>
          <w:rFonts w:cs="FrankRuehl" w:hint="cs"/>
          <w:szCs w:val="26"/>
          <w:rtl/>
        </w:rPr>
        <w:tab/>
        <w:t>שירותי קוסמטיקה ואסתטיקה, לרבות טיפולי הסרת שיער;</w:t>
      </w:r>
    </w:p>
    <w:p w14:paraId="0C072F8C"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20" w:name="h21"/>
      <w:bookmarkEnd w:id="20"/>
      <w:r>
        <w:rPr>
          <w:rFonts w:cs="FrankRuehl" w:hint="cs"/>
          <w:szCs w:val="34"/>
          <w:rtl/>
        </w:rPr>
        <w:t>(11)</w:t>
      </w:r>
      <w:r>
        <w:rPr>
          <w:rFonts w:cs="FrankRuehl" w:hint="cs"/>
          <w:szCs w:val="26"/>
          <w:rtl/>
        </w:rPr>
        <w:tab/>
        <w:t>עסקת נופש ארוך טווח; בפרט זה, "עסקת נופש ארוך טווח" – עסקה הנמשכת על פני תקופה העולה על שנה, שבה צרכן, תמורת תשלום, מקבל בעיקר את הזכות לקבל הנחות או הטבות בקשר ללינה, נוסף על השירותים האחרים, כגון נסיעה או בלעדיהם;</w:t>
      </w:r>
    </w:p>
    <w:p w14:paraId="0AB7B281"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21" w:name="h22"/>
      <w:bookmarkEnd w:id="21"/>
      <w:r>
        <w:rPr>
          <w:rFonts w:cs="FrankRuehl" w:hint="cs"/>
          <w:szCs w:val="34"/>
          <w:rtl/>
        </w:rPr>
        <w:t>(12)</w:t>
      </w:r>
      <w:r>
        <w:rPr>
          <w:rFonts w:cs="FrankRuehl" w:hint="cs"/>
          <w:szCs w:val="26"/>
          <w:rtl/>
        </w:rPr>
        <w:tab/>
        <w:t>חברות או מנוי במועדון הנחות;</w:t>
      </w:r>
    </w:p>
    <w:p w14:paraId="4447AB85"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22" w:name="h23"/>
      <w:bookmarkEnd w:id="22"/>
      <w:r>
        <w:rPr>
          <w:rFonts w:cs="FrankRuehl" w:hint="cs"/>
          <w:szCs w:val="34"/>
          <w:rtl/>
        </w:rPr>
        <w:t>(13)</w:t>
      </w:r>
      <w:r>
        <w:rPr>
          <w:rFonts w:cs="FrankRuehl" w:hint="cs"/>
          <w:szCs w:val="26"/>
          <w:rtl/>
        </w:rPr>
        <w:tab/>
        <w:t>שירותים הניתנים על ידי בעל רישיון כללי או רישיון כללי ייחודי למתן שירותי בזק פנים-ארציים נייחים, כהגדרתם בחוק התקשורת;</w:t>
      </w:r>
    </w:p>
    <w:p w14:paraId="0C8BF10D"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23" w:name="h24"/>
      <w:bookmarkEnd w:id="23"/>
      <w:r>
        <w:rPr>
          <w:rFonts w:cs="FrankRuehl" w:hint="cs"/>
          <w:szCs w:val="34"/>
          <w:rtl/>
        </w:rPr>
        <w:t>(14)</w:t>
      </w:r>
      <w:r>
        <w:rPr>
          <w:rFonts w:cs="FrankRuehl" w:hint="cs"/>
          <w:szCs w:val="26"/>
          <w:rtl/>
        </w:rPr>
        <w:tab/>
        <w:t>שירותים הניתנים על ידי בעל רישיון כללי למתן שירותי רדיו טלפון נייד בשיטה התאית, כמשמעותם בסעיף 4(א2) לחוק התקשורת;</w:t>
      </w:r>
    </w:p>
    <w:p w14:paraId="6FAB2A21"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24" w:name="h25"/>
      <w:bookmarkEnd w:id="24"/>
      <w:r>
        <w:rPr>
          <w:rFonts w:cs="FrankRuehl" w:hint="cs"/>
          <w:szCs w:val="34"/>
          <w:rtl/>
        </w:rPr>
        <w:t>(15)</w:t>
      </w:r>
      <w:r>
        <w:rPr>
          <w:rFonts w:cs="FrankRuehl" w:hint="cs"/>
          <w:szCs w:val="26"/>
          <w:rtl/>
        </w:rPr>
        <w:tab/>
        <w:t>שירותים הניתנים על ידי בעל רישיון מיוחד או היתר כללי למתן שירותי גישה לאינטרנט, שניתן לפי סעיף 4 ו-4א1 לחוק התקשורת;</w:t>
      </w:r>
    </w:p>
    <w:p w14:paraId="147C2CDA"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25" w:name="h26"/>
      <w:bookmarkEnd w:id="25"/>
      <w:r>
        <w:rPr>
          <w:rFonts w:cs="FrankRuehl" w:hint="cs"/>
          <w:szCs w:val="34"/>
          <w:rtl/>
        </w:rPr>
        <w:t>(16)</w:t>
      </w:r>
      <w:r>
        <w:rPr>
          <w:rFonts w:cs="FrankRuehl" w:hint="cs"/>
          <w:szCs w:val="26"/>
          <w:rtl/>
        </w:rPr>
        <w:tab/>
        <w:t>שירותים הניתנים על ידי בעל רישיון לשידורי כהגדרתו בחוק התקשורת;</w:t>
      </w:r>
    </w:p>
    <w:p w14:paraId="7AD15A38"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26" w:name="h27"/>
      <w:bookmarkEnd w:id="26"/>
      <w:r>
        <w:rPr>
          <w:rFonts w:cs="FrankRuehl" w:hint="cs"/>
          <w:szCs w:val="34"/>
          <w:rtl/>
        </w:rPr>
        <w:t>(17)</w:t>
      </w:r>
      <w:r>
        <w:rPr>
          <w:rFonts w:cs="FrankRuehl" w:hint="cs"/>
          <w:szCs w:val="26"/>
          <w:rtl/>
        </w:rPr>
        <w:tab/>
        <w:t>חברות או מינוי במועדון כושר או מועדון בריאות (ספא);</w:t>
      </w:r>
    </w:p>
    <w:p w14:paraId="4C7F0AEF"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27" w:name="h28"/>
      <w:bookmarkEnd w:id="27"/>
      <w:r>
        <w:rPr>
          <w:rFonts w:cs="FrankRuehl" w:hint="cs"/>
          <w:szCs w:val="34"/>
          <w:rtl/>
        </w:rPr>
        <w:t>(18)</w:t>
      </w:r>
      <w:r>
        <w:rPr>
          <w:rFonts w:cs="FrankRuehl" w:hint="cs"/>
          <w:szCs w:val="26"/>
          <w:rtl/>
        </w:rPr>
        <w:tab/>
        <w:t>חברות או מינוי במועדון היכרות ושידוכים;</w:t>
      </w:r>
    </w:p>
    <w:p w14:paraId="40D33E94"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28" w:name="h29"/>
      <w:bookmarkEnd w:id="28"/>
      <w:r>
        <w:rPr>
          <w:rFonts w:cs="FrankRuehl" w:hint="cs"/>
          <w:szCs w:val="34"/>
          <w:rtl/>
        </w:rPr>
        <w:t>(19)</w:t>
      </w:r>
      <w:r>
        <w:rPr>
          <w:rFonts w:cs="FrankRuehl" w:hint="cs"/>
          <w:szCs w:val="26"/>
          <w:rtl/>
        </w:rPr>
        <w:tab/>
        <w:t>מינוי להגרלות והימורים;</w:t>
      </w:r>
    </w:p>
    <w:p w14:paraId="03147FBF"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29" w:name="h30"/>
      <w:bookmarkEnd w:id="29"/>
      <w:r>
        <w:rPr>
          <w:rFonts w:cs="FrankRuehl" w:hint="cs"/>
          <w:szCs w:val="34"/>
          <w:rtl/>
        </w:rPr>
        <w:t>(20)</w:t>
      </w:r>
      <w:r>
        <w:rPr>
          <w:rFonts w:cs="FrankRuehl" w:hint="cs"/>
          <w:szCs w:val="26"/>
          <w:rtl/>
        </w:rPr>
        <w:tab/>
        <w:t>טובין ושירותים הנמכרים במסגרת אירוע הצגה; בפסקה זו, "אירוע הצגה" – אירוע שבו העוסק מזמין צרכנים, לרבות באמצעי פיתוי כגון מתנה וזכייה, כדי להציג טובין או שירותים שהוא מעוניין למכור;</w:t>
      </w:r>
    </w:p>
    <w:p w14:paraId="44757CE8"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30" w:name="h31"/>
      <w:bookmarkEnd w:id="30"/>
      <w:r>
        <w:rPr>
          <w:rFonts w:cs="FrankRuehl" w:hint="cs"/>
          <w:szCs w:val="34"/>
          <w:rtl/>
        </w:rPr>
        <w:t>(21)</w:t>
      </w:r>
      <w:r>
        <w:rPr>
          <w:rFonts w:cs="FrankRuehl" w:hint="cs"/>
          <w:szCs w:val="26"/>
          <w:rtl/>
        </w:rPr>
        <w:tab/>
        <w:t>רכב כהגדרתו בפקודת התעבורה שהוא רכב חדש שנרכש מיבואן;</w:t>
      </w:r>
    </w:p>
    <w:p w14:paraId="6A45A4CD"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31" w:name="h32"/>
      <w:bookmarkEnd w:id="31"/>
      <w:r>
        <w:rPr>
          <w:rFonts w:cs="FrankRuehl" w:hint="cs"/>
          <w:szCs w:val="34"/>
          <w:rtl/>
        </w:rPr>
        <w:t>(22)</w:t>
      </w:r>
      <w:r>
        <w:rPr>
          <w:rFonts w:cs="FrankRuehl" w:hint="cs"/>
          <w:szCs w:val="26"/>
          <w:rtl/>
        </w:rPr>
        <w:tab/>
        <w:t>תכשיט שהמחיר ששולם בעדו אינו עולה על 3,000 שקלים חדשים;</w:t>
      </w:r>
    </w:p>
    <w:p w14:paraId="0CD0391F" w14:textId="77777777" w:rsidR="00822F07" w:rsidRDefault="00000000">
      <w:pPr>
        <w:tabs>
          <w:tab w:val="left" w:pos="720"/>
          <w:tab w:val="left" w:pos="1440"/>
          <w:tab w:val="left" w:pos="2160"/>
          <w:tab w:val="left" w:pos="2880"/>
          <w:tab w:val="left" w:pos="3600"/>
        </w:tabs>
        <w:spacing w:before="45" w:after="50" w:line="250" w:lineRule="auto"/>
        <w:ind w:left="720" w:hanging="720"/>
        <w:jc w:val="both"/>
      </w:pPr>
      <w:bookmarkStart w:id="32" w:name="h33"/>
      <w:bookmarkEnd w:id="32"/>
      <w:r>
        <w:rPr>
          <w:rFonts w:cs="FrankRuehl" w:hint="cs"/>
          <w:szCs w:val="34"/>
          <w:rtl/>
        </w:rPr>
        <w:t>(23)</w:t>
      </w:r>
      <w:r>
        <w:rPr>
          <w:rFonts w:cs="FrankRuehl" w:hint="cs"/>
          <w:szCs w:val="26"/>
          <w:rtl/>
        </w:rPr>
        <w:tab/>
        <w:t>שעונים.</w:t>
      </w:r>
    </w:p>
    <w:p w14:paraId="2B2C1C46" w14:textId="77777777" w:rsidR="00822F07" w:rsidRDefault="00822F07">
      <w:pPr>
        <w:tabs>
          <w:tab w:val="left" w:pos="720"/>
          <w:tab w:val="left" w:pos="1440"/>
          <w:tab w:val="left" w:pos="2160"/>
          <w:tab w:val="left" w:pos="2880"/>
          <w:tab w:val="left" w:pos="3600"/>
        </w:tabs>
        <w:spacing w:before="45" w:after="50" w:line="250" w:lineRule="auto"/>
        <w:jc w:val="both"/>
      </w:pPr>
    </w:p>
    <w:p w14:paraId="5645843E" w14:textId="77777777" w:rsidR="00822F07" w:rsidRDefault="00822F07">
      <w:pPr>
        <w:tabs>
          <w:tab w:val="left" w:pos="720"/>
          <w:tab w:val="left" w:pos="1440"/>
          <w:tab w:val="left" w:pos="2160"/>
          <w:tab w:val="left" w:pos="2880"/>
          <w:tab w:val="left" w:pos="3600"/>
        </w:tabs>
        <w:spacing w:before="45" w:after="50" w:line="250" w:lineRule="auto"/>
        <w:jc w:val="both"/>
      </w:pPr>
    </w:p>
    <w:tbl>
      <w:tblPr>
        <w:tblW w:w="5000" w:type="pct"/>
        <w:tblInd w:w="10" w:type="dxa"/>
        <w:tblCellMar>
          <w:left w:w="10" w:type="dxa"/>
          <w:right w:w="10" w:type="dxa"/>
        </w:tblCellMar>
        <w:tblLook w:val="04A0" w:firstRow="1" w:lastRow="0" w:firstColumn="1" w:lastColumn="0" w:noHBand="0" w:noVBand="1"/>
      </w:tblPr>
      <w:tblGrid>
        <w:gridCol w:w="1413"/>
        <w:gridCol w:w="1412"/>
        <w:gridCol w:w="1412"/>
        <w:gridCol w:w="1412"/>
        <w:gridCol w:w="1412"/>
        <w:gridCol w:w="1412"/>
      </w:tblGrid>
      <w:tr w:rsidR="00822F07" w14:paraId="12F03A06" w14:textId="77777777">
        <w:tblPrEx>
          <w:tblCellMar>
            <w:top w:w="0" w:type="dxa"/>
            <w:bottom w:w="0" w:type="dxa"/>
          </w:tblCellMar>
        </w:tblPrEx>
        <w:trPr>
          <w:cantSplit/>
        </w:trPr>
        <w:tc>
          <w:tcPr>
            <w:tcW w:w="800" w:type="pct"/>
          </w:tcPr>
          <w:p w14:paraId="43EF1E0F" w14:textId="77777777" w:rsidR="00822F07" w:rsidRDefault="00822F07">
            <w:pPr>
              <w:tabs>
                <w:tab w:val="left" w:pos="720"/>
                <w:tab w:val="left" w:pos="1440"/>
                <w:tab w:val="left" w:pos="2160"/>
                <w:tab w:val="left" w:pos="2880"/>
                <w:tab w:val="left" w:pos="3600"/>
              </w:tabs>
              <w:spacing w:before="45" w:after="3" w:line="250" w:lineRule="auto"/>
              <w:jc w:val="center"/>
              <w:rPr>
                <w:rFonts w:cs="FrankRuehl"/>
                <w:szCs w:val="26"/>
                <w:rtl/>
              </w:rPr>
            </w:pPr>
          </w:p>
          <w:p w14:paraId="4760EFA1" w14:textId="77777777" w:rsidR="00822F07" w:rsidRDefault="00822F07">
            <w:pPr>
              <w:spacing w:before="45" w:after="3" w:line="250" w:lineRule="auto"/>
              <w:jc w:val="center"/>
            </w:pPr>
          </w:p>
        </w:tc>
        <w:tc>
          <w:tcPr>
            <w:tcW w:w="800" w:type="pct"/>
          </w:tcPr>
          <w:p w14:paraId="6CD5C695" w14:textId="77777777" w:rsidR="00822F07" w:rsidRDefault="00000000">
            <w:pPr>
              <w:spacing w:before="45" w:after="3" w:line="250" w:lineRule="auto"/>
              <w:jc w:val="center"/>
            </w:pPr>
            <w:r>
              <w:rPr>
                <w:rFonts w:cs="FrankRuehl" w:hint="cs"/>
                <w:szCs w:val="26"/>
                <w:rtl/>
              </w:rPr>
              <w:t>בנימין (פואד) בן אליעזר</w:t>
            </w:r>
          </w:p>
          <w:p w14:paraId="60302CD3" w14:textId="77777777" w:rsidR="00822F07" w:rsidRDefault="00000000">
            <w:pPr>
              <w:spacing w:before="45" w:after="3" w:line="250" w:lineRule="auto"/>
              <w:jc w:val="center"/>
            </w:pPr>
            <w:r>
              <w:rPr>
                <w:rFonts w:cs="FrankRuehl" w:hint="cs"/>
                <w:rtl/>
              </w:rPr>
              <w:t>שר התעשייה המסחר והתעסוקה</w:t>
            </w:r>
          </w:p>
        </w:tc>
        <w:tc>
          <w:tcPr>
            <w:tcW w:w="800" w:type="pct"/>
          </w:tcPr>
          <w:p w14:paraId="33348DAB" w14:textId="77777777" w:rsidR="00822F07" w:rsidRDefault="00822F07">
            <w:pPr>
              <w:spacing w:before="45" w:after="3" w:line="250" w:lineRule="auto"/>
              <w:jc w:val="center"/>
            </w:pPr>
          </w:p>
          <w:p w14:paraId="022BABFF" w14:textId="77777777" w:rsidR="00822F07" w:rsidRDefault="00822F07">
            <w:pPr>
              <w:spacing w:before="45" w:after="3" w:line="250" w:lineRule="auto"/>
              <w:jc w:val="center"/>
            </w:pPr>
          </w:p>
        </w:tc>
        <w:tc>
          <w:tcPr>
            <w:tcW w:w="800" w:type="pct"/>
          </w:tcPr>
          <w:p w14:paraId="60720511" w14:textId="77777777" w:rsidR="00822F07" w:rsidRDefault="00822F07">
            <w:pPr>
              <w:spacing w:before="45" w:after="3" w:line="250" w:lineRule="auto"/>
              <w:jc w:val="center"/>
            </w:pPr>
          </w:p>
          <w:p w14:paraId="11393632" w14:textId="77777777" w:rsidR="00822F07" w:rsidRDefault="00822F07">
            <w:pPr>
              <w:spacing w:before="45" w:after="3" w:line="250" w:lineRule="auto"/>
              <w:jc w:val="center"/>
            </w:pPr>
          </w:p>
        </w:tc>
        <w:tc>
          <w:tcPr>
            <w:tcW w:w="800" w:type="pct"/>
          </w:tcPr>
          <w:p w14:paraId="5AE0DE8D" w14:textId="77777777" w:rsidR="00822F07" w:rsidRDefault="00822F07">
            <w:pPr>
              <w:spacing w:before="45" w:after="3" w:line="250" w:lineRule="auto"/>
              <w:jc w:val="center"/>
            </w:pPr>
          </w:p>
          <w:p w14:paraId="7FC69E83" w14:textId="77777777" w:rsidR="00822F07" w:rsidRDefault="00822F07">
            <w:pPr>
              <w:spacing w:before="45" w:after="3" w:line="250" w:lineRule="auto"/>
              <w:jc w:val="center"/>
            </w:pPr>
          </w:p>
        </w:tc>
        <w:tc>
          <w:tcPr>
            <w:tcW w:w="800" w:type="pct"/>
          </w:tcPr>
          <w:p w14:paraId="01BBF8E3" w14:textId="77777777" w:rsidR="00822F07" w:rsidRDefault="00822F07">
            <w:pPr>
              <w:spacing w:before="45" w:after="3" w:line="250" w:lineRule="auto"/>
              <w:jc w:val="center"/>
            </w:pPr>
          </w:p>
          <w:p w14:paraId="2347C228" w14:textId="77777777" w:rsidR="00822F07" w:rsidRDefault="00822F07">
            <w:pPr>
              <w:spacing w:before="45" w:after="3" w:line="250" w:lineRule="auto"/>
              <w:jc w:val="center"/>
            </w:pPr>
          </w:p>
        </w:tc>
      </w:tr>
      <w:tr w:rsidR="00822F07" w14:paraId="7340FC86" w14:textId="77777777">
        <w:tblPrEx>
          <w:tblCellMar>
            <w:top w:w="0" w:type="dxa"/>
            <w:bottom w:w="0" w:type="dxa"/>
          </w:tblCellMar>
        </w:tblPrEx>
        <w:trPr>
          <w:cantSplit/>
        </w:trPr>
        <w:tc>
          <w:tcPr>
            <w:tcW w:w="800" w:type="pct"/>
          </w:tcPr>
          <w:p w14:paraId="24EEB938" w14:textId="77777777" w:rsidR="00822F07" w:rsidRDefault="00822F07">
            <w:pPr>
              <w:spacing w:before="45" w:after="3" w:line="250" w:lineRule="auto"/>
              <w:jc w:val="center"/>
            </w:pPr>
          </w:p>
          <w:p w14:paraId="7544664B" w14:textId="77777777" w:rsidR="00822F07" w:rsidRDefault="00822F07">
            <w:pPr>
              <w:spacing w:before="45" w:after="3" w:line="250" w:lineRule="auto"/>
              <w:jc w:val="center"/>
            </w:pPr>
          </w:p>
        </w:tc>
        <w:tc>
          <w:tcPr>
            <w:tcW w:w="800" w:type="pct"/>
          </w:tcPr>
          <w:p w14:paraId="5C1539FD" w14:textId="77777777" w:rsidR="00822F07" w:rsidRDefault="00822F07">
            <w:pPr>
              <w:spacing w:before="45" w:after="3" w:line="250" w:lineRule="auto"/>
              <w:jc w:val="center"/>
            </w:pPr>
          </w:p>
          <w:p w14:paraId="355E8ABC" w14:textId="77777777" w:rsidR="00822F07" w:rsidRDefault="00822F07">
            <w:pPr>
              <w:spacing w:before="45" w:after="3" w:line="250" w:lineRule="auto"/>
              <w:jc w:val="center"/>
            </w:pPr>
          </w:p>
        </w:tc>
        <w:tc>
          <w:tcPr>
            <w:tcW w:w="800" w:type="pct"/>
          </w:tcPr>
          <w:p w14:paraId="06FD1063" w14:textId="77777777" w:rsidR="00822F07" w:rsidRDefault="00822F07">
            <w:pPr>
              <w:spacing w:before="45" w:after="3" w:line="250" w:lineRule="auto"/>
              <w:jc w:val="center"/>
            </w:pPr>
          </w:p>
          <w:p w14:paraId="356A6162" w14:textId="77777777" w:rsidR="00822F07" w:rsidRDefault="00822F07">
            <w:pPr>
              <w:spacing w:before="45" w:after="3" w:line="250" w:lineRule="auto"/>
              <w:jc w:val="center"/>
            </w:pPr>
          </w:p>
        </w:tc>
        <w:tc>
          <w:tcPr>
            <w:tcW w:w="800" w:type="pct"/>
          </w:tcPr>
          <w:p w14:paraId="4D26C803" w14:textId="77777777" w:rsidR="00822F07" w:rsidRDefault="00822F07">
            <w:pPr>
              <w:spacing w:before="45" w:after="3" w:line="250" w:lineRule="auto"/>
              <w:jc w:val="center"/>
            </w:pPr>
          </w:p>
          <w:p w14:paraId="63D40C01" w14:textId="77777777" w:rsidR="00822F07" w:rsidRDefault="00822F07">
            <w:pPr>
              <w:spacing w:before="45" w:after="3" w:line="250" w:lineRule="auto"/>
              <w:jc w:val="center"/>
            </w:pPr>
          </w:p>
        </w:tc>
        <w:tc>
          <w:tcPr>
            <w:tcW w:w="800" w:type="pct"/>
          </w:tcPr>
          <w:p w14:paraId="58DD784D" w14:textId="77777777" w:rsidR="00822F07" w:rsidRDefault="00822F07">
            <w:pPr>
              <w:spacing w:before="45" w:after="3" w:line="250" w:lineRule="auto"/>
              <w:jc w:val="center"/>
            </w:pPr>
          </w:p>
          <w:p w14:paraId="435CF811" w14:textId="77777777" w:rsidR="00822F07" w:rsidRDefault="00822F07">
            <w:pPr>
              <w:spacing w:before="45" w:after="3" w:line="250" w:lineRule="auto"/>
              <w:jc w:val="center"/>
            </w:pPr>
          </w:p>
        </w:tc>
        <w:tc>
          <w:tcPr>
            <w:tcW w:w="800" w:type="pct"/>
          </w:tcPr>
          <w:p w14:paraId="60A572B3" w14:textId="77777777" w:rsidR="00822F07" w:rsidRDefault="00822F07">
            <w:pPr>
              <w:spacing w:before="45" w:after="3" w:line="250" w:lineRule="auto"/>
              <w:jc w:val="center"/>
            </w:pPr>
          </w:p>
          <w:p w14:paraId="462E24A7" w14:textId="77777777" w:rsidR="00822F07" w:rsidRDefault="00822F07">
            <w:pPr>
              <w:spacing w:before="45" w:after="3" w:line="250" w:lineRule="auto"/>
              <w:jc w:val="center"/>
            </w:pPr>
          </w:p>
        </w:tc>
      </w:tr>
    </w:tbl>
    <w:p w14:paraId="1F248310" w14:textId="77777777" w:rsidR="00822F07" w:rsidRDefault="00822F07">
      <w:pPr>
        <w:tabs>
          <w:tab w:val="left" w:pos="720"/>
          <w:tab w:val="left" w:pos="1440"/>
          <w:tab w:val="left" w:pos="2160"/>
          <w:tab w:val="left" w:pos="2880"/>
          <w:tab w:val="left" w:pos="3600"/>
        </w:tabs>
        <w:spacing w:before="45" w:after="50" w:line="250" w:lineRule="auto"/>
        <w:jc w:val="both"/>
      </w:pPr>
    </w:p>
    <w:sectPr w:rsidR="00822F07">
      <w:headerReference w:type="default" r:id="rId6"/>
      <w:footerReference w:type="default" r:id="rId7"/>
      <w:pgSz w:w="12240" w:h="15840"/>
      <w:pgMar w:top="1200" w:right="2267" w:bottom="400" w:left="150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0948" w14:textId="77777777" w:rsidR="000D75C5" w:rsidRDefault="000D75C5">
      <w:pPr>
        <w:spacing w:after="0" w:line="240" w:lineRule="auto"/>
      </w:pPr>
      <w:r>
        <w:separator/>
      </w:r>
    </w:p>
  </w:endnote>
  <w:endnote w:type="continuationSeparator" w:id="0">
    <w:p w14:paraId="19211A66" w14:textId="77777777" w:rsidR="000D75C5" w:rsidRDefault="000D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6B21" w14:textId="77777777" w:rsidR="00822F07" w:rsidRDefault="00000000">
    <w:pPr>
      <w:spacing w:before="45" w:after="5" w:line="250" w:lineRule="auto"/>
      <w:jc w:val="center"/>
    </w:pPr>
    <w:r>
      <w:rPr>
        <w:rFonts w:cs="FrankRuehl" w:hint="cs"/>
        <w:szCs w:val="24"/>
        <w:rtl/>
      </w:rPr>
      <w:fldChar w:fldCharType="begin"/>
    </w:r>
    <w:r>
      <w:rPr>
        <w:rFonts w:cs="FrankRuehl" w:hint="cs"/>
        <w:szCs w:val="24"/>
        <w:rtl/>
      </w:rPr>
      <w:instrText>Page</w:instrText>
    </w:r>
    <w:r>
      <w:rPr>
        <w:rFonts w:cs="FrankRuehl"/>
        <w:szCs w:val="24"/>
        <w:rtl/>
      </w:rPr>
      <w:fldChar w:fldCharType="separate"/>
    </w:r>
    <w:r w:rsidR="009D2259">
      <w:rPr>
        <w:rFonts w:cs="FrankRuehl"/>
        <w:noProof/>
        <w:szCs w:val="24"/>
        <w:rtl/>
      </w:rPr>
      <w:t>1</w:t>
    </w:r>
    <w:r>
      <w:rPr>
        <w:rFonts w:cs="FrankRuehl" w:hint="cs"/>
        <w:szCs w:val="24"/>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F210" w14:textId="77777777" w:rsidR="000D75C5" w:rsidRDefault="000D75C5">
      <w:pPr>
        <w:spacing w:after="0" w:line="240" w:lineRule="auto"/>
      </w:pPr>
      <w:r>
        <w:separator/>
      </w:r>
    </w:p>
  </w:footnote>
  <w:footnote w:type="continuationSeparator" w:id="0">
    <w:p w14:paraId="17F939B9" w14:textId="77777777" w:rsidR="000D75C5" w:rsidRDefault="000D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84EA" w14:textId="77777777" w:rsidR="00822F07" w:rsidRDefault="00000000">
    <w:pPr>
      <w:spacing w:before="45" w:after="5" w:line="250" w:lineRule="auto"/>
      <w:jc w:val="center"/>
    </w:pPr>
    <w:r>
      <w:rPr>
        <w:rFonts w:cs="FrankRuehl" w:hint="cs"/>
        <w:szCs w:val="24"/>
        <w:rtl/>
      </w:rPr>
      <w:t>תקנות הגנת הצרכן (ביטול עסקה), תשע"א-2010, נוסח עדכני נכון ליום 10.08.2022</w:t>
    </w:r>
  </w:p>
  <w:p w14:paraId="614BDE3F" w14:textId="77777777" w:rsidR="00822F07" w:rsidRDefault="00822F07">
    <w:pPr>
      <w:pBdr>
        <w:top w:val="single" w:sz="5"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07"/>
    <w:rsid w:val="000D75C5"/>
    <w:rsid w:val="00822F07"/>
    <w:rsid w:val="009D22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2DEC"/>
  <w15:docId w15:val="{5BB3D69E-6396-4758-BB34-0B481BE5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1773</Words>
  <Characters>8868</Characters>
  <Application>Microsoft Office Word</Application>
  <DocSecurity>0</DocSecurity>
  <Lines>73</Lines>
  <Paragraphs>21</Paragraphs>
  <ScaleCrop>false</ScaleCrop>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גלעד סולמי</dc:creator>
  <cp:lastModifiedBy>גלעד סולמי</cp:lastModifiedBy>
  <cp:revision>2</cp:revision>
  <dcterms:created xsi:type="dcterms:W3CDTF">2023-06-05T11:50:00Z</dcterms:created>
  <dcterms:modified xsi:type="dcterms:W3CDTF">2023-06-05T11:50:00Z</dcterms:modified>
</cp:coreProperties>
</file>